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3BD33">
      <w:pPr>
        <w:jc w:val="center"/>
        <w:rPr>
          <w:rFonts w:hint="eastAsia"/>
          <w:b/>
          <w:bCs/>
          <w:sz w:val="36"/>
          <w:szCs w:val="36"/>
        </w:rPr>
      </w:pPr>
      <w:bookmarkStart w:id="0" w:name="_GoBack"/>
      <w:r>
        <w:rPr>
          <w:rFonts w:hint="eastAsia"/>
          <w:b/>
          <w:bCs/>
          <w:sz w:val="36"/>
          <w:szCs w:val="36"/>
        </w:rPr>
        <w:t>课程思政话语体系建构成效测度指标操作手册</w:t>
      </w:r>
    </w:p>
    <w:bookmarkEnd w:id="0"/>
    <w:p w14:paraId="76FAF95D">
      <w:pPr>
        <w:rPr>
          <w:rFonts w:hint="eastAsia"/>
        </w:rPr>
      </w:pPr>
      <w:r>
        <w:rPr>
          <w:rFonts w:hint="eastAsia"/>
        </w:rPr>
        <w:t>（一）手册说明</w:t>
      </w:r>
    </w:p>
    <w:p w14:paraId="1F159375">
      <w:pPr>
        <w:rPr>
          <w:rFonts w:hint="eastAsia"/>
        </w:rPr>
      </w:pPr>
      <w:r>
        <w:rPr>
          <w:rFonts w:hint="eastAsia"/>
        </w:rPr>
        <w:t>本手册基于 “主体 — 内容 — 方式 — 语境 — 成效” 五位一体测度指标体系，提供指标定义、评分标准、数据收集方法与操作流程，适用于各类应用型高校开展课程思政话语体系建构成效自评与第三方评估，确保测度过程标准化、结果客观化。</w:t>
      </w:r>
    </w:p>
    <w:p w14:paraId="0817973F">
      <w:pPr>
        <w:rPr>
          <w:rFonts w:hint="eastAsia"/>
        </w:rPr>
      </w:pPr>
      <w:r>
        <w:rPr>
          <w:rFonts w:hint="eastAsia"/>
        </w:rPr>
        <w:t>（二）核心指标操作细则</w:t>
      </w:r>
    </w:p>
    <w:p w14:paraId="79C2654D">
      <w:pPr>
        <w:rPr>
          <w:rFonts w:hint="eastAsia"/>
        </w:rPr>
      </w:pPr>
      <w:r>
        <w:rPr>
          <w:rFonts w:hint="eastAsia"/>
        </w:rPr>
        <w:t>一级指标 1：话语主体能力（权重 0.25）</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093"/>
        <w:gridCol w:w="741"/>
        <w:gridCol w:w="1693"/>
        <w:gridCol w:w="3984"/>
        <w:gridCol w:w="1065"/>
      </w:tblGrid>
      <w:tr w14:paraId="3B76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Header/>
        </w:trPr>
        <w:tc>
          <w:tcPr>
            <w:tcW w:w="0" w:type="auto"/>
            <w:tcBorders>
              <w:tl2br w:val="nil"/>
              <w:tr2bl w:val="nil"/>
            </w:tcBorders>
            <w:shd w:val="clear" w:color="auto" w:fill="F2F2F2"/>
            <w:tcMar>
              <w:top w:w="90" w:type="dxa"/>
              <w:left w:w="135" w:type="dxa"/>
              <w:bottom w:w="90" w:type="dxa"/>
              <w:right w:w="135" w:type="dxa"/>
            </w:tcMar>
            <w:vAlign w:val="center"/>
          </w:tcPr>
          <w:p w14:paraId="4E77FB5A">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二级指标</w:t>
            </w:r>
          </w:p>
        </w:tc>
        <w:tc>
          <w:tcPr>
            <w:tcW w:w="0" w:type="auto"/>
            <w:tcBorders>
              <w:tl2br w:val="nil"/>
              <w:tr2bl w:val="nil"/>
            </w:tcBorders>
            <w:shd w:val="clear" w:color="auto" w:fill="F2F2F2"/>
            <w:tcMar>
              <w:top w:w="90" w:type="dxa"/>
              <w:left w:w="135" w:type="dxa"/>
              <w:bottom w:w="90" w:type="dxa"/>
              <w:right w:w="135" w:type="dxa"/>
            </w:tcMar>
            <w:vAlign w:val="center"/>
          </w:tcPr>
          <w:p w14:paraId="777C06C9">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三级指标</w:t>
            </w:r>
          </w:p>
        </w:tc>
        <w:tc>
          <w:tcPr>
            <w:tcW w:w="0" w:type="auto"/>
            <w:tcBorders>
              <w:tl2br w:val="nil"/>
              <w:tr2bl w:val="nil"/>
            </w:tcBorders>
            <w:shd w:val="clear" w:color="auto" w:fill="F2F2F2"/>
            <w:tcMar>
              <w:top w:w="90" w:type="dxa"/>
              <w:left w:w="135" w:type="dxa"/>
              <w:bottom w:w="90" w:type="dxa"/>
              <w:right w:w="135" w:type="dxa"/>
            </w:tcMar>
            <w:vAlign w:val="center"/>
          </w:tcPr>
          <w:p w14:paraId="179AD2D2">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指标定义</w:t>
            </w:r>
          </w:p>
        </w:tc>
        <w:tc>
          <w:tcPr>
            <w:tcW w:w="0" w:type="auto"/>
            <w:tcBorders>
              <w:tl2br w:val="nil"/>
              <w:tr2bl w:val="nil"/>
            </w:tcBorders>
            <w:shd w:val="clear" w:color="auto" w:fill="F2F2F2"/>
            <w:tcMar>
              <w:top w:w="90" w:type="dxa"/>
              <w:left w:w="135" w:type="dxa"/>
              <w:bottom w:w="90" w:type="dxa"/>
              <w:right w:w="135" w:type="dxa"/>
            </w:tcMar>
            <w:vAlign w:val="center"/>
          </w:tcPr>
          <w:p w14:paraId="0478EA8C">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评分标准（1-5 分）</w:t>
            </w:r>
          </w:p>
        </w:tc>
        <w:tc>
          <w:tcPr>
            <w:tcW w:w="0" w:type="auto"/>
            <w:tcBorders>
              <w:tl2br w:val="nil"/>
              <w:tr2bl w:val="nil"/>
            </w:tcBorders>
            <w:shd w:val="clear" w:color="auto" w:fill="F2F2F2"/>
            <w:tcMar>
              <w:top w:w="90" w:type="dxa"/>
              <w:left w:w="135" w:type="dxa"/>
              <w:bottom w:w="90" w:type="dxa"/>
              <w:right w:w="135" w:type="dxa"/>
            </w:tcMar>
            <w:vAlign w:val="center"/>
          </w:tcPr>
          <w:p w14:paraId="2C9D52D6">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数据收集方法</w:t>
            </w:r>
          </w:p>
        </w:tc>
      </w:tr>
      <w:tr w14:paraId="24F3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3AB6508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话语意识（0.4）</w:t>
            </w:r>
          </w:p>
        </w:tc>
        <w:tc>
          <w:tcPr>
            <w:tcW w:w="0" w:type="auto"/>
            <w:tcBorders>
              <w:tl2br w:val="nil"/>
              <w:tr2bl w:val="nil"/>
            </w:tcBorders>
            <w:shd w:val="clear" w:color="auto" w:fill="auto"/>
            <w:tcMar>
              <w:top w:w="90" w:type="dxa"/>
              <w:left w:w="135" w:type="dxa"/>
              <w:bottom w:w="90" w:type="dxa"/>
              <w:right w:w="135" w:type="dxa"/>
            </w:tcMar>
            <w:vAlign w:val="center"/>
          </w:tcPr>
          <w:p w14:paraId="463A819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育人使命认知</w:t>
            </w:r>
          </w:p>
        </w:tc>
        <w:tc>
          <w:tcPr>
            <w:tcW w:w="0" w:type="auto"/>
            <w:tcBorders>
              <w:tl2br w:val="nil"/>
              <w:tr2bl w:val="nil"/>
            </w:tcBorders>
            <w:shd w:val="clear" w:color="auto" w:fill="auto"/>
            <w:tcMar>
              <w:top w:w="90" w:type="dxa"/>
              <w:left w:w="135" w:type="dxa"/>
              <w:bottom w:w="90" w:type="dxa"/>
              <w:right w:w="135" w:type="dxa"/>
            </w:tcMar>
            <w:vAlign w:val="center"/>
          </w:tcPr>
          <w:p w14:paraId="266EE1D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教师对课程思政 “立德树人” 使命的理解与认同程度</w:t>
            </w:r>
          </w:p>
        </w:tc>
        <w:tc>
          <w:tcPr>
            <w:tcW w:w="0" w:type="auto"/>
            <w:tcBorders>
              <w:tl2br w:val="nil"/>
              <w:tr2bl w:val="nil"/>
            </w:tcBorders>
            <w:shd w:val="clear" w:color="auto" w:fill="auto"/>
            <w:tcMar>
              <w:top w:w="90" w:type="dxa"/>
              <w:left w:w="135" w:type="dxa"/>
              <w:bottom w:w="90" w:type="dxa"/>
              <w:right w:w="135" w:type="dxa"/>
            </w:tcMar>
            <w:vAlign w:val="center"/>
          </w:tcPr>
          <w:p w14:paraId="487D6F6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分：深刻理解，主动践行；4 分：较理解，积极配合；3 分：基本理解，被动执行；2 分：理解模糊，敷衍应对；1 分：不理解，拒绝参与</w:t>
            </w:r>
          </w:p>
        </w:tc>
        <w:tc>
          <w:tcPr>
            <w:tcW w:w="0" w:type="auto"/>
            <w:tcBorders>
              <w:tl2br w:val="nil"/>
              <w:tr2bl w:val="nil"/>
            </w:tcBorders>
            <w:shd w:val="clear" w:color="auto" w:fill="auto"/>
            <w:tcMar>
              <w:top w:w="90" w:type="dxa"/>
              <w:left w:w="135" w:type="dxa"/>
              <w:bottom w:w="90" w:type="dxa"/>
              <w:right w:w="135" w:type="dxa"/>
            </w:tcMar>
            <w:vAlign w:val="center"/>
          </w:tcPr>
          <w:p w14:paraId="0D8C398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教师问卷、深度访谈</w:t>
            </w:r>
          </w:p>
        </w:tc>
      </w:tr>
      <w:tr w14:paraId="71F0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55337FA">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327B9DD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话语自觉程度</w:t>
            </w:r>
          </w:p>
        </w:tc>
        <w:tc>
          <w:tcPr>
            <w:tcW w:w="0" w:type="auto"/>
            <w:tcBorders>
              <w:tl2br w:val="nil"/>
              <w:tr2bl w:val="nil"/>
            </w:tcBorders>
            <w:shd w:val="clear" w:color="auto" w:fill="auto"/>
            <w:tcMar>
              <w:top w:w="90" w:type="dxa"/>
              <w:left w:w="135" w:type="dxa"/>
              <w:bottom w:w="90" w:type="dxa"/>
              <w:right w:w="135" w:type="dxa"/>
            </w:tcMar>
            <w:vAlign w:val="center"/>
          </w:tcPr>
          <w:p w14:paraId="6394FD6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教师主动挖掘思政元素、创新话语表达的意识</w:t>
            </w:r>
          </w:p>
        </w:tc>
        <w:tc>
          <w:tcPr>
            <w:tcW w:w="0" w:type="auto"/>
            <w:tcBorders>
              <w:tl2br w:val="nil"/>
              <w:tr2bl w:val="nil"/>
            </w:tcBorders>
            <w:shd w:val="clear" w:color="auto" w:fill="auto"/>
            <w:tcMar>
              <w:top w:w="90" w:type="dxa"/>
              <w:left w:w="135" w:type="dxa"/>
              <w:bottom w:w="90" w:type="dxa"/>
              <w:right w:w="135" w:type="dxa"/>
            </w:tcMar>
            <w:vAlign w:val="center"/>
          </w:tcPr>
          <w:p w14:paraId="35D4927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分：常态化主动建构；4 分：经常主动尝试；3 分：偶尔主动参与；2 分：需督促执行；1 分：无主动意识</w:t>
            </w:r>
          </w:p>
        </w:tc>
        <w:tc>
          <w:tcPr>
            <w:tcW w:w="0" w:type="auto"/>
            <w:tcBorders>
              <w:tl2br w:val="nil"/>
              <w:tr2bl w:val="nil"/>
            </w:tcBorders>
            <w:shd w:val="clear" w:color="auto" w:fill="auto"/>
            <w:tcMar>
              <w:top w:w="90" w:type="dxa"/>
              <w:left w:w="135" w:type="dxa"/>
              <w:bottom w:w="90" w:type="dxa"/>
              <w:right w:w="135" w:type="dxa"/>
            </w:tcMar>
            <w:vAlign w:val="center"/>
          </w:tcPr>
          <w:p w14:paraId="122448D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课堂观察、教案分析</w:t>
            </w:r>
          </w:p>
        </w:tc>
      </w:tr>
      <w:tr w14:paraId="7AB9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12FAE13">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4DC79C9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价值引领信心</w:t>
            </w:r>
          </w:p>
        </w:tc>
        <w:tc>
          <w:tcPr>
            <w:tcW w:w="0" w:type="auto"/>
            <w:tcBorders>
              <w:tl2br w:val="nil"/>
              <w:tr2bl w:val="nil"/>
            </w:tcBorders>
            <w:shd w:val="clear" w:color="auto" w:fill="auto"/>
            <w:tcMar>
              <w:top w:w="90" w:type="dxa"/>
              <w:left w:w="135" w:type="dxa"/>
              <w:bottom w:w="90" w:type="dxa"/>
              <w:right w:w="135" w:type="dxa"/>
            </w:tcMar>
            <w:vAlign w:val="center"/>
          </w:tcPr>
          <w:p w14:paraId="5BB370F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教师开展思政话语传递的自我效能感</w:t>
            </w:r>
          </w:p>
        </w:tc>
        <w:tc>
          <w:tcPr>
            <w:tcW w:w="0" w:type="auto"/>
            <w:tcBorders>
              <w:tl2br w:val="nil"/>
              <w:tr2bl w:val="nil"/>
            </w:tcBorders>
            <w:shd w:val="clear" w:color="auto" w:fill="auto"/>
            <w:tcMar>
              <w:top w:w="90" w:type="dxa"/>
              <w:left w:w="135" w:type="dxa"/>
              <w:bottom w:w="90" w:type="dxa"/>
              <w:right w:w="135" w:type="dxa"/>
            </w:tcMar>
            <w:vAlign w:val="center"/>
          </w:tcPr>
          <w:p w14:paraId="1839B76D">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分：信心充足，效果显著；4 分：较有信心，效果较好；3 分：基本有信心，效果一般；2 分：信心不足，效果较差；1 分：无信心，无效果</w:t>
            </w:r>
          </w:p>
        </w:tc>
        <w:tc>
          <w:tcPr>
            <w:tcW w:w="0" w:type="auto"/>
            <w:tcBorders>
              <w:tl2br w:val="nil"/>
              <w:tr2bl w:val="nil"/>
            </w:tcBorders>
            <w:shd w:val="clear" w:color="auto" w:fill="auto"/>
            <w:tcMar>
              <w:top w:w="90" w:type="dxa"/>
              <w:left w:w="135" w:type="dxa"/>
              <w:bottom w:w="90" w:type="dxa"/>
              <w:right w:w="135" w:type="dxa"/>
            </w:tcMar>
            <w:vAlign w:val="center"/>
          </w:tcPr>
          <w:p w14:paraId="639BA6A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教师问卷、同行评价</w:t>
            </w:r>
          </w:p>
        </w:tc>
      </w:tr>
      <w:tr w14:paraId="209E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26FB4CF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核心素养（0.3）</w:t>
            </w:r>
          </w:p>
        </w:tc>
        <w:tc>
          <w:tcPr>
            <w:tcW w:w="0" w:type="auto"/>
            <w:tcBorders>
              <w:tl2br w:val="nil"/>
              <w:tr2bl w:val="nil"/>
            </w:tcBorders>
            <w:shd w:val="clear" w:color="auto" w:fill="auto"/>
            <w:tcMar>
              <w:top w:w="90" w:type="dxa"/>
              <w:left w:w="135" w:type="dxa"/>
              <w:bottom w:w="90" w:type="dxa"/>
              <w:right w:w="135" w:type="dxa"/>
            </w:tcMar>
            <w:vAlign w:val="center"/>
          </w:tcPr>
          <w:p w14:paraId="3DD0B54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思想政治素养</w:t>
            </w:r>
          </w:p>
        </w:tc>
        <w:tc>
          <w:tcPr>
            <w:tcW w:w="0" w:type="auto"/>
            <w:tcBorders>
              <w:tl2br w:val="nil"/>
              <w:tr2bl w:val="nil"/>
            </w:tcBorders>
            <w:shd w:val="clear" w:color="auto" w:fill="auto"/>
            <w:tcMar>
              <w:top w:w="90" w:type="dxa"/>
              <w:left w:w="135" w:type="dxa"/>
              <w:bottom w:w="90" w:type="dxa"/>
              <w:right w:w="135" w:type="dxa"/>
            </w:tcMar>
            <w:vAlign w:val="center"/>
          </w:tcPr>
          <w:p w14:paraId="504FBDA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教师的政治理论水平与价值观导向</w:t>
            </w:r>
          </w:p>
        </w:tc>
        <w:tc>
          <w:tcPr>
            <w:tcW w:w="0" w:type="auto"/>
            <w:tcBorders>
              <w:tl2br w:val="nil"/>
              <w:tr2bl w:val="nil"/>
            </w:tcBorders>
            <w:shd w:val="clear" w:color="auto" w:fill="auto"/>
            <w:tcMar>
              <w:top w:w="90" w:type="dxa"/>
              <w:left w:w="135" w:type="dxa"/>
              <w:bottom w:w="90" w:type="dxa"/>
              <w:right w:w="135" w:type="dxa"/>
            </w:tcMar>
            <w:vAlign w:val="center"/>
          </w:tcPr>
          <w:p w14:paraId="307DD7E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分：理论扎实，导向鲜明；4 分：理论较扎实，导向明确；3 分：有一定理论基础，导向基本正确；2 分：理论薄弱，导向模糊；1 分：理论欠缺，导向偏差</w:t>
            </w:r>
          </w:p>
        </w:tc>
        <w:tc>
          <w:tcPr>
            <w:tcW w:w="0" w:type="auto"/>
            <w:tcBorders>
              <w:tl2br w:val="nil"/>
              <w:tr2bl w:val="nil"/>
            </w:tcBorders>
            <w:shd w:val="clear" w:color="auto" w:fill="auto"/>
            <w:tcMar>
              <w:top w:w="90" w:type="dxa"/>
              <w:left w:w="135" w:type="dxa"/>
              <w:bottom w:w="90" w:type="dxa"/>
              <w:right w:w="135" w:type="dxa"/>
            </w:tcMar>
            <w:vAlign w:val="center"/>
          </w:tcPr>
          <w:p w14:paraId="61C0FF8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培训记录、访谈记录</w:t>
            </w:r>
          </w:p>
        </w:tc>
      </w:tr>
      <w:tr w14:paraId="68A1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4C57C576">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201B6B4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专业融合素养</w:t>
            </w:r>
          </w:p>
        </w:tc>
        <w:tc>
          <w:tcPr>
            <w:tcW w:w="0" w:type="auto"/>
            <w:tcBorders>
              <w:tl2br w:val="nil"/>
              <w:tr2bl w:val="nil"/>
            </w:tcBorders>
            <w:shd w:val="clear" w:color="auto" w:fill="auto"/>
            <w:tcMar>
              <w:top w:w="90" w:type="dxa"/>
              <w:left w:w="135" w:type="dxa"/>
              <w:bottom w:w="90" w:type="dxa"/>
              <w:right w:w="135" w:type="dxa"/>
            </w:tcMar>
            <w:vAlign w:val="center"/>
          </w:tcPr>
          <w:p w14:paraId="466BB8D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教师将思政元素与专业知识融合的能力</w:t>
            </w:r>
          </w:p>
        </w:tc>
        <w:tc>
          <w:tcPr>
            <w:tcW w:w="0" w:type="auto"/>
            <w:tcBorders>
              <w:tl2br w:val="nil"/>
              <w:tr2bl w:val="nil"/>
            </w:tcBorders>
            <w:shd w:val="clear" w:color="auto" w:fill="auto"/>
            <w:tcMar>
              <w:top w:w="90" w:type="dxa"/>
              <w:left w:w="135" w:type="dxa"/>
              <w:bottom w:w="90" w:type="dxa"/>
              <w:right w:w="135" w:type="dxa"/>
            </w:tcMar>
            <w:vAlign w:val="center"/>
          </w:tcPr>
          <w:p w14:paraId="27746B0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分：精准融合，浑然一体；4 分：较好融合，衔接自然；3 分：基本融合，略有生硬；2 分：融合困难，衔接生硬；1 分：无法融合，完全脱节</w:t>
            </w:r>
          </w:p>
        </w:tc>
        <w:tc>
          <w:tcPr>
            <w:tcW w:w="0" w:type="auto"/>
            <w:tcBorders>
              <w:tl2br w:val="nil"/>
              <w:tr2bl w:val="nil"/>
            </w:tcBorders>
            <w:shd w:val="clear" w:color="auto" w:fill="auto"/>
            <w:tcMar>
              <w:top w:w="90" w:type="dxa"/>
              <w:left w:w="135" w:type="dxa"/>
              <w:bottom w:w="90" w:type="dxa"/>
              <w:right w:w="135" w:type="dxa"/>
            </w:tcMar>
            <w:vAlign w:val="center"/>
          </w:tcPr>
          <w:p w14:paraId="3591121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教案分析、课堂实录</w:t>
            </w:r>
          </w:p>
        </w:tc>
      </w:tr>
      <w:tr w14:paraId="4F51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33B2624">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483C3D6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文化素养</w:t>
            </w:r>
          </w:p>
        </w:tc>
        <w:tc>
          <w:tcPr>
            <w:tcW w:w="0" w:type="auto"/>
            <w:tcBorders>
              <w:tl2br w:val="nil"/>
              <w:tr2bl w:val="nil"/>
            </w:tcBorders>
            <w:shd w:val="clear" w:color="auto" w:fill="auto"/>
            <w:tcMar>
              <w:top w:w="90" w:type="dxa"/>
              <w:left w:w="135" w:type="dxa"/>
              <w:bottom w:w="90" w:type="dxa"/>
              <w:right w:w="135" w:type="dxa"/>
            </w:tcMar>
            <w:vAlign w:val="center"/>
          </w:tcPr>
          <w:p w14:paraId="41FF2F9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教师对中华优秀传统文化、革命文化等的掌握程度</w:t>
            </w:r>
          </w:p>
        </w:tc>
        <w:tc>
          <w:tcPr>
            <w:tcW w:w="0" w:type="auto"/>
            <w:tcBorders>
              <w:tl2br w:val="nil"/>
              <w:tr2bl w:val="nil"/>
            </w:tcBorders>
            <w:shd w:val="clear" w:color="auto" w:fill="auto"/>
            <w:tcMar>
              <w:top w:w="90" w:type="dxa"/>
              <w:left w:w="135" w:type="dxa"/>
              <w:bottom w:w="90" w:type="dxa"/>
              <w:right w:w="135" w:type="dxa"/>
            </w:tcMar>
            <w:vAlign w:val="center"/>
          </w:tcPr>
          <w:p w14:paraId="343DDC4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分：底蕴深厚，灵活运用；4 分：较深厚，能够运用；3 分：有一定了解，基本能用；2 分：了解有限，难以运用；1 分：不了解，无法运用</w:t>
            </w:r>
          </w:p>
        </w:tc>
        <w:tc>
          <w:tcPr>
            <w:tcW w:w="0" w:type="auto"/>
            <w:tcBorders>
              <w:tl2br w:val="nil"/>
              <w:tr2bl w:val="nil"/>
            </w:tcBorders>
            <w:shd w:val="clear" w:color="auto" w:fill="auto"/>
            <w:tcMar>
              <w:top w:w="90" w:type="dxa"/>
              <w:left w:w="135" w:type="dxa"/>
              <w:bottom w:w="90" w:type="dxa"/>
              <w:right w:w="135" w:type="dxa"/>
            </w:tcMar>
            <w:vAlign w:val="center"/>
          </w:tcPr>
          <w:p w14:paraId="6449BEA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访谈、教学案例分析</w:t>
            </w:r>
          </w:p>
        </w:tc>
      </w:tr>
      <w:tr w14:paraId="348B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1558435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话语能力（0.3）</w:t>
            </w:r>
          </w:p>
        </w:tc>
        <w:tc>
          <w:tcPr>
            <w:tcW w:w="0" w:type="auto"/>
            <w:tcBorders>
              <w:tl2br w:val="nil"/>
              <w:tr2bl w:val="nil"/>
            </w:tcBorders>
            <w:shd w:val="clear" w:color="auto" w:fill="auto"/>
            <w:tcMar>
              <w:top w:w="90" w:type="dxa"/>
              <w:left w:w="135" w:type="dxa"/>
              <w:bottom w:w="90" w:type="dxa"/>
              <w:right w:w="135" w:type="dxa"/>
            </w:tcMar>
            <w:vAlign w:val="center"/>
          </w:tcPr>
          <w:p w14:paraId="45E3480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元素挖掘能力</w:t>
            </w:r>
          </w:p>
        </w:tc>
        <w:tc>
          <w:tcPr>
            <w:tcW w:w="0" w:type="auto"/>
            <w:tcBorders>
              <w:tl2br w:val="nil"/>
              <w:tr2bl w:val="nil"/>
            </w:tcBorders>
            <w:shd w:val="clear" w:color="auto" w:fill="auto"/>
            <w:tcMar>
              <w:top w:w="90" w:type="dxa"/>
              <w:left w:w="135" w:type="dxa"/>
              <w:bottom w:w="90" w:type="dxa"/>
              <w:right w:w="135" w:type="dxa"/>
            </w:tcMar>
            <w:vAlign w:val="center"/>
          </w:tcPr>
          <w:p w14:paraId="09B391E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教师从专业知识点中挖掘思政元素的精准度</w:t>
            </w:r>
          </w:p>
        </w:tc>
        <w:tc>
          <w:tcPr>
            <w:tcW w:w="0" w:type="auto"/>
            <w:tcBorders>
              <w:tl2br w:val="nil"/>
              <w:tr2bl w:val="nil"/>
            </w:tcBorders>
            <w:shd w:val="clear" w:color="auto" w:fill="auto"/>
            <w:tcMar>
              <w:top w:w="90" w:type="dxa"/>
              <w:left w:w="135" w:type="dxa"/>
              <w:bottom w:w="90" w:type="dxa"/>
              <w:right w:w="135" w:type="dxa"/>
            </w:tcMar>
            <w:vAlign w:val="center"/>
          </w:tcPr>
          <w:p w14:paraId="527C7B5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分：精准挖掘，贴合专业；4 分：较精准，基本贴合；3 分：能挖掘，贴合度一般；2 分：难以挖掘，贴合度差；1 分：无法挖掘</w:t>
            </w:r>
          </w:p>
        </w:tc>
        <w:tc>
          <w:tcPr>
            <w:tcW w:w="0" w:type="auto"/>
            <w:tcBorders>
              <w:tl2br w:val="nil"/>
              <w:tr2bl w:val="nil"/>
            </w:tcBorders>
            <w:shd w:val="clear" w:color="auto" w:fill="auto"/>
            <w:tcMar>
              <w:top w:w="90" w:type="dxa"/>
              <w:left w:w="135" w:type="dxa"/>
              <w:bottom w:w="90" w:type="dxa"/>
              <w:right w:w="135" w:type="dxa"/>
            </w:tcMar>
            <w:vAlign w:val="center"/>
          </w:tcPr>
          <w:p w14:paraId="6B7DED3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教案分析、集体备课记录</w:t>
            </w:r>
          </w:p>
        </w:tc>
      </w:tr>
      <w:tr w14:paraId="1CE1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16464B57">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BC38E9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表达技巧</w:t>
            </w:r>
          </w:p>
        </w:tc>
        <w:tc>
          <w:tcPr>
            <w:tcW w:w="0" w:type="auto"/>
            <w:tcBorders>
              <w:tl2br w:val="nil"/>
              <w:tr2bl w:val="nil"/>
            </w:tcBorders>
            <w:shd w:val="clear" w:color="auto" w:fill="auto"/>
            <w:tcMar>
              <w:top w:w="90" w:type="dxa"/>
              <w:left w:w="135" w:type="dxa"/>
              <w:bottom w:w="90" w:type="dxa"/>
              <w:right w:w="135" w:type="dxa"/>
            </w:tcMar>
            <w:vAlign w:val="center"/>
          </w:tcPr>
          <w:p w14:paraId="18D650D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教师思政话语的表达流畅度与自然度</w:t>
            </w:r>
          </w:p>
        </w:tc>
        <w:tc>
          <w:tcPr>
            <w:tcW w:w="0" w:type="auto"/>
            <w:tcBorders>
              <w:tl2br w:val="nil"/>
              <w:tr2bl w:val="nil"/>
            </w:tcBorders>
            <w:shd w:val="clear" w:color="auto" w:fill="auto"/>
            <w:tcMar>
              <w:top w:w="90" w:type="dxa"/>
              <w:left w:w="135" w:type="dxa"/>
              <w:bottom w:w="90" w:type="dxa"/>
              <w:right w:w="135" w:type="dxa"/>
            </w:tcMar>
            <w:vAlign w:val="center"/>
          </w:tcPr>
          <w:p w14:paraId="295E189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分：流畅自然，感染力强；4 分：较流畅，有感染力；3 分：基本流畅，感染力一般；2 分：不够流畅，缺乏感染力；1 分：不流畅，生硬说教</w:t>
            </w:r>
          </w:p>
        </w:tc>
        <w:tc>
          <w:tcPr>
            <w:tcW w:w="0" w:type="auto"/>
            <w:tcBorders>
              <w:tl2br w:val="nil"/>
              <w:tr2bl w:val="nil"/>
            </w:tcBorders>
            <w:shd w:val="clear" w:color="auto" w:fill="auto"/>
            <w:tcMar>
              <w:top w:w="90" w:type="dxa"/>
              <w:left w:w="135" w:type="dxa"/>
              <w:bottom w:w="90" w:type="dxa"/>
              <w:right w:w="135" w:type="dxa"/>
            </w:tcMar>
            <w:vAlign w:val="center"/>
          </w:tcPr>
          <w:p w14:paraId="6921DEA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课堂实录、学生问卷</w:t>
            </w:r>
          </w:p>
        </w:tc>
      </w:tr>
      <w:tr w14:paraId="61CB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242701B1">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5CC4BD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多模态运用能力</w:t>
            </w:r>
          </w:p>
        </w:tc>
        <w:tc>
          <w:tcPr>
            <w:tcW w:w="0" w:type="auto"/>
            <w:tcBorders>
              <w:tl2br w:val="nil"/>
              <w:tr2bl w:val="nil"/>
            </w:tcBorders>
            <w:shd w:val="clear" w:color="auto" w:fill="auto"/>
            <w:tcMar>
              <w:top w:w="90" w:type="dxa"/>
              <w:left w:w="135" w:type="dxa"/>
              <w:bottom w:w="90" w:type="dxa"/>
              <w:right w:w="135" w:type="dxa"/>
            </w:tcMar>
            <w:vAlign w:val="center"/>
          </w:tcPr>
          <w:p w14:paraId="07C9866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教师运用语言、实践、数字等多模态传递话语的能力</w:t>
            </w:r>
          </w:p>
        </w:tc>
        <w:tc>
          <w:tcPr>
            <w:tcW w:w="0" w:type="auto"/>
            <w:tcBorders>
              <w:tl2br w:val="nil"/>
              <w:tr2bl w:val="nil"/>
            </w:tcBorders>
            <w:shd w:val="clear" w:color="auto" w:fill="auto"/>
            <w:tcMar>
              <w:top w:w="90" w:type="dxa"/>
              <w:left w:w="135" w:type="dxa"/>
              <w:bottom w:w="90" w:type="dxa"/>
              <w:right w:w="135" w:type="dxa"/>
            </w:tcMar>
            <w:vAlign w:val="center"/>
          </w:tcPr>
          <w:p w14:paraId="6838282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分：熟练运用多种模态；4 分：较熟练运用 2-3 种；3 分：基本运用 1-2 种；2 分：勉强运用 1 种；1 分：不会运用多模态</w:t>
            </w:r>
          </w:p>
        </w:tc>
        <w:tc>
          <w:tcPr>
            <w:tcW w:w="0" w:type="auto"/>
            <w:tcBorders>
              <w:tl2br w:val="nil"/>
              <w:tr2bl w:val="nil"/>
            </w:tcBorders>
            <w:shd w:val="clear" w:color="auto" w:fill="auto"/>
            <w:tcMar>
              <w:top w:w="90" w:type="dxa"/>
              <w:left w:w="135" w:type="dxa"/>
              <w:bottom w:w="90" w:type="dxa"/>
              <w:right w:w="135" w:type="dxa"/>
            </w:tcMar>
            <w:vAlign w:val="center"/>
          </w:tcPr>
          <w:p w14:paraId="0733EEF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课堂观察、教学资源分析</w:t>
            </w:r>
          </w:p>
        </w:tc>
      </w:tr>
    </w:tbl>
    <w:p w14:paraId="044BCC0C">
      <w:pPr>
        <w:rPr>
          <w:rFonts w:hint="eastAsia"/>
        </w:rPr>
      </w:pPr>
      <w:r>
        <w:rPr>
          <w:rFonts w:hint="eastAsia"/>
        </w:rPr>
        <w:t>一级指标 2：话语内容质量（权重 0.25）</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217"/>
        <w:gridCol w:w="703"/>
        <w:gridCol w:w="1539"/>
        <w:gridCol w:w="3930"/>
        <w:gridCol w:w="1187"/>
      </w:tblGrid>
      <w:tr w14:paraId="22D4D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Header/>
        </w:trPr>
        <w:tc>
          <w:tcPr>
            <w:tcW w:w="0" w:type="auto"/>
            <w:tcBorders>
              <w:tl2br w:val="nil"/>
              <w:tr2bl w:val="nil"/>
            </w:tcBorders>
            <w:shd w:val="clear" w:color="auto" w:fill="F2F2F2"/>
            <w:tcMar>
              <w:top w:w="90" w:type="dxa"/>
              <w:left w:w="135" w:type="dxa"/>
              <w:bottom w:w="90" w:type="dxa"/>
              <w:right w:w="135" w:type="dxa"/>
            </w:tcMar>
            <w:vAlign w:val="center"/>
          </w:tcPr>
          <w:p w14:paraId="27368455">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二级指标</w:t>
            </w:r>
          </w:p>
        </w:tc>
        <w:tc>
          <w:tcPr>
            <w:tcW w:w="0" w:type="auto"/>
            <w:tcBorders>
              <w:tl2br w:val="nil"/>
              <w:tr2bl w:val="nil"/>
            </w:tcBorders>
            <w:shd w:val="clear" w:color="auto" w:fill="F2F2F2"/>
            <w:tcMar>
              <w:top w:w="90" w:type="dxa"/>
              <w:left w:w="135" w:type="dxa"/>
              <w:bottom w:w="90" w:type="dxa"/>
              <w:right w:w="135" w:type="dxa"/>
            </w:tcMar>
            <w:vAlign w:val="center"/>
          </w:tcPr>
          <w:p w14:paraId="293B60D8">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三级指标</w:t>
            </w:r>
          </w:p>
        </w:tc>
        <w:tc>
          <w:tcPr>
            <w:tcW w:w="0" w:type="auto"/>
            <w:tcBorders>
              <w:tl2br w:val="nil"/>
              <w:tr2bl w:val="nil"/>
            </w:tcBorders>
            <w:shd w:val="clear" w:color="auto" w:fill="F2F2F2"/>
            <w:tcMar>
              <w:top w:w="90" w:type="dxa"/>
              <w:left w:w="135" w:type="dxa"/>
              <w:bottom w:w="90" w:type="dxa"/>
              <w:right w:w="135" w:type="dxa"/>
            </w:tcMar>
            <w:vAlign w:val="center"/>
          </w:tcPr>
          <w:p w14:paraId="54E104DF">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指标定义</w:t>
            </w:r>
          </w:p>
        </w:tc>
        <w:tc>
          <w:tcPr>
            <w:tcW w:w="0" w:type="auto"/>
            <w:tcBorders>
              <w:tl2br w:val="nil"/>
              <w:tr2bl w:val="nil"/>
            </w:tcBorders>
            <w:shd w:val="clear" w:color="auto" w:fill="F2F2F2"/>
            <w:tcMar>
              <w:top w:w="90" w:type="dxa"/>
              <w:left w:w="135" w:type="dxa"/>
              <w:bottom w:w="90" w:type="dxa"/>
              <w:right w:w="135" w:type="dxa"/>
            </w:tcMar>
            <w:vAlign w:val="center"/>
          </w:tcPr>
          <w:p w14:paraId="36531ECA">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评分标准（1-5 分）</w:t>
            </w:r>
          </w:p>
        </w:tc>
        <w:tc>
          <w:tcPr>
            <w:tcW w:w="0" w:type="auto"/>
            <w:tcBorders>
              <w:tl2br w:val="nil"/>
              <w:tr2bl w:val="nil"/>
            </w:tcBorders>
            <w:shd w:val="clear" w:color="auto" w:fill="F2F2F2"/>
            <w:tcMar>
              <w:top w:w="90" w:type="dxa"/>
              <w:left w:w="135" w:type="dxa"/>
              <w:bottom w:w="90" w:type="dxa"/>
              <w:right w:w="135" w:type="dxa"/>
            </w:tcMar>
            <w:vAlign w:val="center"/>
          </w:tcPr>
          <w:p w14:paraId="039FC854">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数据收集方法</w:t>
            </w:r>
          </w:p>
        </w:tc>
      </w:tr>
      <w:tr w14:paraId="430F1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EE0A91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专业融合度（0.4）</w:t>
            </w:r>
          </w:p>
        </w:tc>
        <w:tc>
          <w:tcPr>
            <w:tcW w:w="0" w:type="auto"/>
            <w:tcBorders>
              <w:tl2br w:val="nil"/>
              <w:tr2bl w:val="nil"/>
            </w:tcBorders>
            <w:shd w:val="clear" w:color="auto" w:fill="auto"/>
            <w:tcMar>
              <w:top w:w="90" w:type="dxa"/>
              <w:left w:w="135" w:type="dxa"/>
              <w:bottom w:w="90" w:type="dxa"/>
              <w:right w:w="135" w:type="dxa"/>
            </w:tcMar>
            <w:vAlign w:val="center"/>
          </w:tcPr>
          <w:p w14:paraId="1DB7A3F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融合点精准性</w:t>
            </w:r>
          </w:p>
        </w:tc>
        <w:tc>
          <w:tcPr>
            <w:tcW w:w="0" w:type="auto"/>
            <w:tcBorders>
              <w:tl2br w:val="nil"/>
              <w:tr2bl w:val="nil"/>
            </w:tcBorders>
            <w:shd w:val="clear" w:color="auto" w:fill="auto"/>
            <w:tcMar>
              <w:top w:w="90" w:type="dxa"/>
              <w:left w:w="135" w:type="dxa"/>
              <w:bottom w:w="90" w:type="dxa"/>
              <w:right w:w="135" w:type="dxa"/>
            </w:tcMar>
            <w:vAlign w:val="center"/>
          </w:tcPr>
          <w:p w14:paraId="56090B0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思政元素与专业知识点的内在关联紧密程度</w:t>
            </w:r>
          </w:p>
        </w:tc>
        <w:tc>
          <w:tcPr>
            <w:tcW w:w="0" w:type="auto"/>
            <w:tcBorders>
              <w:tl2br w:val="nil"/>
              <w:tr2bl w:val="nil"/>
            </w:tcBorders>
            <w:shd w:val="clear" w:color="auto" w:fill="auto"/>
            <w:tcMar>
              <w:top w:w="90" w:type="dxa"/>
              <w:left w:w="135" w:type="dxa"/>
              <w:bottom w:w="90" w:type="dxa"/>
              <w:right w:w="135" w:type="dxa"/>
            </w:tcMar>
            <w:vAlign w:val="center"/>
          </w:tcPr>
          <w:p w14:paraId="3F4CE60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分：高度关联，精准对接；4 分：较关联，对接较准；3 分：基本关联，对接一般；2 分：关联薄弱，对接偏差；1 分：无关联，强行对接</w:t>
            </w:r>
          </w:p>
        </w:tc>
        <w:tc>
          <w:tcPr>
            <w:tcW w:w="0" w:type="auto"/>
            <w:tcBorders>
              <w:tl2br w:val="nil"/>
              <w:tr2bl w:val="nil"/>
            </w:tcBorders>
            <w:shd w:val="clear" w:color="auto" w:fill="auto"/>
            <w:tcMar>
              <w:top w:w="90" w:type="dxa"/>
              <w:left w:w="135" w:type="dxa"/>
              <w:bottom w:w="90" w:type="dxa"/>
              <w:right w:w="135" w:type="dxa"/>
            </w:tcMar>
            <w:vAlign w:val="center"/>
          </w:tcPr>
          <w:p w14:paraId="78E5A3C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教案分析、专家评审</w:t>
            </w:r>
          </w:p>
        </w:tc>
      </w:tr>
      <w:tr w14:paraId="6BC0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02480C3">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0D111E1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融合自然度</w:t>
            </w:r>
          </w:p>
        </w:tc>
        <w:tc>
          <w:tcPr>
            <w:tcW w:w="0" w:type="auto"/>
            <w:tcBorders>
              <w:tl2br w:val="nil"/>
              <w:tr2bl w:val="nil"/>
            </w:tcBorders>
            <w:shd w:val="clear" w:color="auto" w:fill="auto"/>
            <w:tcMar>
              <w:top w:w="90" w:type="dxa"/>
              <w:left w:w="135" w:type="dxa"/>
              <w:bottom w:w="90" w:type="dxa"/>
              <w:right w:w="135" w:type="dxa"/>
            </w:tcMar>
            <w:vAlign w:val="center"/>
          </w:tcPr>
          <w:p w14:paraId="53091B1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思政话语融入专业教学的衔接流畅程度</w:t>
            </w:r>
          </w:p>
        </w:tc>
        <w:tc>
          <w:tcPr>
            <w:tcW w:w="0" w:type="auto"/>
            <w:tcBorders>
              <w:tl2br w:val="nil"/>
              <w:tr2bl w:val="nil"/>
            </w:tcBorders>
            <w:shd w:val="clear" w:color="auto" w:fill="auto"/>
            <w:tcMar>
              <w:top w:w="90" w:type="dxa"/>
              <w:left w:w="135" w:type="dxa"/>
              <w:bottom w:w="90" w:type="dxa"/>
              <w:right w:w="135" w:type="dxa"/>
            </w:tcMar>
            <w:vAlign w:val="center"/>
          </w:tcPr>
          <w:p w14:paraId="3A9D867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分：完全自然，无违和感；4 分：较自然，略有痕迹；3 分：基本自然，痕迹明显；2 分：不够自然，衔接生硬；1 分：极不自然，严重脱节</w:t>
            </w:r>
          </w:p>
        </w:tc>
        <w:tc>
          <w:tcPr>
            <w:tcW w:w="0" w:type="auto"/>
            <w:tcBorders>
              <w:tl2br w:val="nil"/>
              <w:tr2bl w:val="nil"/>
            </w:tcBorders>
            <w:shd w:val="clear" w:color="auto" w:fill="auto"/>
            <w:tcMar>
              <w:top w:w="90" w:type="dxa"/>
              <w:left w:w="135" w:type="dxa"/>
              <w:bottom w:w="90" w:type="dxa"/>
              <w:right w:w="135" w:type="dxa"/>
            </w:tcMar>
            <w:vAlign w:val="center"/>
          </w:tcPr>
          <w:p w14:paraId="0E60AAD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课堂实录、学生访谈</w:t>
            </w:r>
          </w:p>
        </w:tc>
      </w:tr>
      <w:tr w14:paraId="1EF7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A587A64">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496DBB3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专业特色性</w:t>
            </w:r>
          </w:p>
        </w:tc>
        <w:tc>
          <w:tcPr>
            <w:tcW w:w="0" w:type="auto"/>
            <w:tcBorders>
              <w:tl2br w:val="nil"/>
              <w:tr2bl w:val="nil"/>
            </w:tcBorders>
            <w:shd w:val="clear" w:color="auto" w:fill="auto"/>
            <w:tcMar>
              <w:top w:w="90" w:type="dxa"/>
              <w:left w:w="135" w:type="dxa"/>
              <w:bottom w:w="90" w:type="dxa"/>
              <w:right w:w="135" w:type="dxa"/>
            </w:tcMar>
            <w:vAlign w:val="center"/>
          </w:tcPr>
          <w:p w14:paraId="5CD07A3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思政话语体现学科专业独特性的程度</w:t>
            </w:r>
          </w:p>
        </w:tc>
        <w:tc>
          <w:tcPr>
            <w:tcW w:w="0" w:type="auto"/>
            <w:tcBorders>
              <w:tl2br w:val="nil"/>
              <w:tr2bl w:val="nil"/>
            </w:tcBorders>
            <w:shd w:val="clear" w:color="auto" w:fill="auto"/>
            <w:tcMar>
              <w:top w:w="90" w:type="dxa"/>
              <w:left w:w="135" w:type="dxa"/>
              <w:bottom w:w="90" w:type="dxa"/>
              <w:right w:w="135" w:type="dxa"/>
            </w:tcMar>
            <w:vAlign w:val="center"/>
          </w:tcPr>
          <w:p w14:paraId="17E3E24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分：特色鲜明，贴合行业；4 分：较有特色，基本贴合；3 分：有一定特色，贴合度一般；2 分：特色不明显，贴合度差；1 分：无特色，完全通用</w:t>
            </w:r>
          </w:p>
        </w:tc>
        <w:tc>
          <w:tcPr>
            <w:tcW w:w="0" w:type="auto"/>
            <w:tcBorders>
              <w:tl2br w:val="nil"/>
              <w:tr2bl w:val="nil"/>
            </w:tcBorders>
            <w:shd w:val="clear" w:color="auto" w:fill="auto"/>
            <w:tcMar>
              <w:top w:w="90" w:type="dxa"/>
              <w:left w:w="135" w:type="dxa"/>
              <w:bottom w:w="90" w:type="dxa"/>
              <w:right w:w="135" w:type="dxa"/>
            </w:tcMar>
            <w:vAlign w:val="center"/>
          </w:tcPr>
          <w:p w14:paraId="53C9F01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课程大纲分析、行业专家评价</w:t>
            </w:r>
          </w:p>
        </w:tc>
      </w:tr>
      <w:tr w14:paraId="668B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6B14F4A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文化底蕴（0.3）</w:t>
            </w:r>
          </w:p>
        </w:tc>
        <w:tc>
          <w:tcPr>
            <w:tcW w:w="0" w:type="auto"/>
            <w:tcBorders>
              <w:tl2br w:val="nil"/>
              <w:tr2bl w:val="nil"/>
            </w:tcBorders>
            <w:shd w:val="clear" w:color="auto" w:fill="auto"/>
            <w:tcMar>
              <w:top w:w="90" w:type="dxa"/>
              <w:left w:w="135" w:type="dxa"/>
              <w:bottom w:w="90" w:type="dxa"/>
              <w:right w:w="135" w:type="dxa"/>
            </w:tcMar>
            <w:vAlign w:val="center"/>
          </w:tcPr>
          <w:p w14:paraId="572BEE2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传统文化融入</w:t>
            </w:r>
          </w:p>
        </w:tc>
        <w:tc>
          <w:tcPr>
            <w:tcW w:w="0" w:type="auto"/>
            <w:tcBorders>
              <w:tl2br w:val="nil"/>
              <w:tr2bl w:val="nil"/>
            </w:tcBorders>
            <w:shd w:val="clear" w:color="auto" w:fill="auto"/>
            <w:tcMar>
              <w:top w:w="90" w:type="dxa"/>
              <w:left w:w="135" w:type="dxa"/>
              <w:bottom w:w="90" w:type="dxa"/>
              <w:right w:w="135" w:type="dxa"/>
            </w:tcMar>
            <w:vAlign w:val="center"/>
          </w:tcPr>
          <w:p w14:paraId="291DE78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中华优秀传统文化元素的融入深度</w:t>
            </w:r>
          </w:p>
        </w:tc>
        <w:tc>
          <w:tcPr>
            <w:tcW w:w="0" w:type="auto"/>
            <w:tcBorders>
              <w:tl2br w:val="nil"/>
              <w:tr2bl w:val="nil"/>
            </w:tcBorders>
            <w:shd w:val="clear" w:color="auto" w:fill="auto"/>
            <w:tcMar>
              <w:top w:w="90" w:type="dxa"/>
              <w:left w:w="135" w:type="dxa"/>
              <w:bottom w:w="90" w:type="dxa"/>
              <w:right w:w="135" w:type="dxa"/>
            </w:tcMar>
            <w:vAlign w:val="center"/>
          </w:tcPr>
          <w:p w14:paraId="02C3305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分：深度融入，内涵凸显；4 分：较好融入，内涵较凸显；3 分：基本融入，内涵一般；2 分：浅层融入，内涵模糊；1 分：未融入</w:t>
            </w:r>
          </w:p>
        </w:tc>
        <w:tc>
          <w:tcPr>
            <w:tcW w:w="0" w:type="auto"/>
            <w:tcBorders>
              <w:tl2br w:val="nil"/>
              <w:tr2bl w:val="nil"/>
            </w:tcBorders>
            <w:shd w:val="clear" w:color="auto" w:fill="auto"/>
            <w:tcMar>
              <w:top w:w="90" w:type="dxa"/>
              <w:left w:w="135" w:type="dxa"/>
              <w:bottom w:w="90" w:type="dxa"/>
              <w:right w:w="135" w:type="dxa"/>
            </w:tcMar>
            <w:vAlign w:val="center"/>
          </w:tcPr>
          <w:p w14:paraId="3A2EC22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教学案例分析、教材审查</w:t>
            </w:r>
          </w:p>
        </w:tc>
      </w:tr>
      <w:tr w14:paraId="20B7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1D62FD8E">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1965FD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革命文化融入</w:t>
            </w:r>
          </w:p>
        </w:tc>
        <w:tc>
          <w:tcPr>
            <w:tcW w:w="0" w:type="auto"/>
            <w:tcBorders>
              <w:tl2br w:val="nil"/>
              <w:tr2bl w:val="nil"/>
            </w:tcBorders>
            <w:shd w:val="clear" w:color="auto" w:fill="auto"/>
            <w:tcMar>
              <w:top w:w="90" w:type="dxa"/>
              <w:left w:w="135" w:type="dxa"/>
              <w:bottom w:w="90" w:type="dxa"/>
              <w:right w:w="135" w:type="dxa"/>
            </w:tcMar>
            <w:vAlign w:val="center"/>
          </w:tcPr>
          <w:p w14:paraId="355E001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革命文化、红色基因的融入效果</w:t>
            </w:r>
          </w:p>
        </w:tc>
        <w:tc>
          <w:tcPr>
            <w:tcW w:w="0" w:type="auto"/>
            <w:tcBorders>
              <w:tl2br w:val="nil"/>
              <w:tr2bl w:val="nil"/>
            </w:tcBorders>
            <w:shd w:val="clear" w:color="auto" w:fill="auto"/>
            <w:tcMar>
              <w:top w:w="90" w:type="dxa"/>
              <w:left w:w="135" w:type="dxa"/>
              <w:bottom w:w="90" w:type="dxa"/>
              <w:right w:w="135" w:type="dxa"/>
            </w:tcMar>
            <w:vAlign w:val="center"/>
          </w:tcPr>
          <w:p w14:paraId="50A09AD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分：深度融入，精神传递到位；4 分：较融入，精神较传递；3 分：基本融入，精神略有传递；2 分：浅层融入，精神传递不足；1 分：未融入</w:t>
            </w:r>
          </w:p>
        </w:tc>
        <w:tc>
          <w:tcPr>
            <w:tcW w:w="0" w:type="auto"/>
            <w:tcBorders>
              <w:tl2br w:val="nil"/>
              <w:tr2bl w:val="nil"/>
            </w:tcBorders>
            <w:shd w:val="clear" w:color="auto" w:fill="auto"/>
            <w:tcMar>
              <w:top w:w="90" w:type="dxa"/>
              <w:left w:w="135" w:type="dxa"/>
              <w:bottom w:w="90" w:type="dxa"/>
              <w:right w:w="135" w:type="dxa"/>
            </w:tcMar>
            <w:vAlign w:val="center"/>
          </w:tcPr>
          <w:p w14:paraId="6ACFF8F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教案分析、学生问卷</w:t>
            </w:r>
          </w:p>
        </w:tc>
      </w:tr>
      <w:tr w14:paraId="7B93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781842DE">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40801BC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先进文化融入</w:t>
            </w:r>
          </w:p>
        </w:tc>
        <w:tc>
          <w:tcPr>
            <w:tcW w:w="0" w:type="auto"/>
            <w:tcBorders>
              <w:tl2br w:val="nil"/>
              <w:tr2bl w:val="nil"/>
            </w:tcBorders>
            <w:shd w:val="clear" w:color="auto" w:fill="auto"/>
            <w:tcMar>
              <w:top w:w="90" w:type="dxa"/>
              <w:left w:w="135" w:type="dxa"/>
              <w:bottom w:w="90" w:type="dxa"/>
              <w:right w:w="135" w:type="dxa"/>
            </w:tcMar>
            <w:vAlign w:val="center"/>
          </w:tcPr>
          <w:p w14:paraId="3FC785D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社会主义先进文化、时代精神的融入程度</w:t>
            </w:r>
          </w:p>
        </w:tc>
        <w:tc>
          <w:tcPr>
            <w:tcW w:w="0" w:type="auto"/>
            <w:tcBorders>
              <w:tl2br w:val="nil"/>
              <w:tr2bl w:val="nil"/>
            </w:tcBorders>
            <w:shd w:val="clear" w:color="auto" w:fill="auto"/>
            <w:tcMar>
              <w:top w:w="90" w:type="dxa"/>
              <w:left w:w="135" w:type="dxa"/>
              <w:bottom w:w="90" w:type="dxa"/>
              <w:right w:w="135" w:type="dxa"/>
            </w:tcMar>
            <w:vAlign w:val="center"/>
          </w:tcPr>
          <w:p w14:paraId="395CD17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分：紧密融入，时代感强；4 分：较融入，有时代感；3 分：基本融入，时代感一般；2 分：浅层融入，时代感弱；1 分：未融入</w:t>
            </w:r>
          </w:p>
        </w:tc>
        <w:tc>
          <w:tcPr>
            <w:tcW w:w="0" w:type="auto"/>
            <w:tcBorders>
              <w:tl2br w:val="nil"/>
              <w:tr2bl w:val="nil"/>
            </w:tcBorders>
            <w:shd w:val="clear" w:color="auto" w:fill="auto"/>
            <w:tcMar>
              <w:top w:w="90" w:type="dxa"/>
              <w:left w:w="135" w:type="dxa"/>
              <w:bottom w:w="90" w:type="dxa"/>
              <w:right w:w="135" w:type="dxa"/>
            </w:tcMar>
            <w:vAlign w:val="center"/>
          </w:tcPr>
          <w:p w14:paraId="6468040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教学内容分析、访谈</w:t>
            </w:r>
          </w:p>
        </w:tc>
      </w:tr>
      <w:tr w14:paraId="2EFC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23D1660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时代性（0.15）</w:t>
            </w:r>
          </w:p>
        </w:tc>
        <w:tc>
          <w:tcPr>
            <w:tcW w:w="0" w:type="auto"/>
            <w:tcBorders>
              <w:tl2br w:val="nil"/>
              <w:tr2bl w:val="nil"/>
            </w:tcBorders>
            <w:shd w:val="clear" w:color="auto" w:fill="auto"/>
            <w:tcMar>
              <w:top w:w="90" w:type="dxa"/>
              <w:left w:w="135" w:type="dxa"/>
              <w:bottom w:w="90" w:type="dxa"/>
              <w:right w:w="135" w:type="dxa"/>
            </w:tcMar>
            <w:vAlign w:val="center"/>
          </w:tcPr>
          <w:p w14:paraId="5F6795D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国家战略对接</w:t>
            </w:r>
          </w:p>
        </w:tc>
        <w:tc>
          <w:tcPr>
            <w:tcW w:w="0" w:type="auto"/>
            <w:tcBorders>
              <w:tl2br w:val="nil"/>
              <w:tr2bl w:val="nil"/>
            </w:tcBorders>
            <w:shd w:val="clear" w:color="auto" w:fill="auto"/>
            <w:tcMar>
              <w:top w:w="90" w:type="dxa"/>
              <w:left w:w="135" w:type="dxa"/>
              <w:bottom w:w="90" w:type="dxa"/>
              <w:right w:w="135" w:type="dxa"/>
            </w:tcMar>
            <w:vAlign w:val="center"/>
          </w:tcPr>
          <w:p w14:paraId="4813493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思政话语与国家重大战略、政策的契合度</w:t>
            </w:r>
          </w:p>
        </w:tc>
        <w:tc>
          <w:tcPr>
            <w:tcW w:w="0" w:type="auto"/>
            <w:tcBorders>
              <w:tl2br w:val="nil"/>
              <w:tr2bl w:val="nil"/>
            </w:tcBorders>
            <w:shd w:val="clear" w:color="auto" w:fill="auto"/>
            <w:tcMar>
              <w:top w:w="90" w:type="dxa"/>
              <w:left w:w="135" w:type="dxa"/>
              <w:bottom w:w="90" w:type="dxa"/>
              <w:right w:w="135" w:type="dxa"/>
            </w:tcMar>
            <w:vAlign w:val="center"/>
          </w:tcPr>
          <w:p w14:paraId="7B7F999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分：高度契合，紧密对接；4 分：较契合，对接较紧；3 分：基本契合，对接一般；2 分：契合度低，对接松散；1 分：不契合，无对接</w:t>
            </w:r>
          </w:p>
        </w:tc>
        <w:tc>
          <w:tcPr>
            <w:tcW w:w="0" w:type="auto"/>
            <w:tcBorders>
              <w:tl2br w:val="nil"/>
              <w:tr2bl w:val="nil"/>
            </w:tcBorders>
            <w:shd w:val="clear" w:color="auto" w:fill="auto"/>
            <w:tcMar>
              <w:top w:w="90" w:type="dxa"/>
              <w:left w:w="135" w:type="dxa"/>
              <w:bottom w:w="90" w:type="dxa"/>
              <w:right w:w="135" w:type="dxa"/>
            </w:tcMar>
            <w:vAlign w:val="center"/>
          </w:tcPr>
          <w:p w14:paraId="7C727BD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政策文件比对、专家评审</w:t>
            </w:r>
          </w:p>
        </w:tc>
      </w:tr>
      <w:tr w14:paraId="61D7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6F2F77EB">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2A73445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行业热点融入</w:t>
            </w:r>
          </w:p>
        </w:tc>
        <w:tc>
          <w:tcPr>
            <w:tcW w:w="0" w:type="auto"/>
            <w:tcBorders>
              <w:tl2br w:val="nil"/>
              <w:tr2bl w:val="nil"/>
            </w:tcBorders>
            <w:shd w:val="clear" w:color="auto" w:fill="auto"/>
            <w:tcMar>
              <w:top w:w="90" w:type="dxa"/>
              <w:left w:w="135" w:type="dxa"/>
              <w:bottom w:w="90" w:type="dxa"/>
              <w:right w:w="135" w:type="dxa"/>
            </w:tcMar>
            <w:vAlign w:val="center"/>
          </w:tcPr>
          <w:p w14:paraId="4F9F144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思政话语与行业前沿、热点问题的结合度</w:t>
            </w:r>
          </w:p>
        </w:tc>
        <w:tc>
          <w:tcPr>
            <w:tcW w:w="0" w:type="auto"/>
            <w:tcBorders>
              <w:tl2br w:val="nil"/>
              <w:tr2bl w:val="nil"/>
            </w:tcBorders>
            <w:shd w:val="clear" w:color="auto" w:fill="auto"/>
            <w:tcMar>
              <w:top w:w="90" w:type="dxa"/>
              <w:left w:w="135" w:type="dxa"/>
              <w:bottom w:w="90" w:type="dxa"/>
              <w:right w:w="135" w:type="dxa"/>
            </w:tcMar>
            <w:vAlign w:val="center"/>
          </w:tcPr>
          <w:p w14:paraId="5E1AC4A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分：紧密结合，时效性强；4 分：较结合，有时效性；3 分：基本结合，时效性一般；2 分：结合薄弱，时效性差；1 分：无结合，无时效性</w:t>
            </w:r>
          </w:p>
        </w:tc>
        <w:tc>
          <w:tcPr>
            <w:tcW w:w="0" w:type="auto"/>
            <w:tcBorders>
              <w:tl2br w:val="nil"/>
              <w:tr2bl w:val="nil"/>
            </w:tcBorders>
            <w:shd w:val="clear" w:color="auto" w:fill="auto"/>
            <w:tcMar>
              <w:top w:w="90" w:type="dxa"/>
              <w:left w:w="135" w:type="dxa"/>
              <w:bottom w:w="90" w:type="dxa"/>
              <w:right w:w="135" w:type="dxa"/>
            </w:tcMar>
            <w:vAlign w:val="center"/>
          </w:tcPr>
          <w:p w14:paraId="17D4BF3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行业案例分析、教师访谈</w:t>
            </w:r>
          </w:p>
        </w:tc>
      </w:tr>
      <w:tr w14:paraId="3E10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6931A7B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针对性（0.15）</w:t>
            </w:r>
          </w:p>
        </w:tc>
        <w:tc>
          <w:tcPr>
            <w:tcW w:w="0" w:type="auto"/>
            <w:tcBorders>
              <w:tl2br w:val="nil"/>
              <w:tr2bl w:val="nil"/>
            </w:tcBorders>
            <w:shd w:val="clear" w:color="auto" w:fill="auto"/>
            <w:tcMar>
              <w:top w:w="90" w:type="dxa"/>
              <w:left w:w="135" w:type="dxa"/>
              <w:bottom w:w="90" w:type="dxa"/>
              <w:right w:w="135" w:type="dxa"/>
            </w:tcMar>
            <w:vAlign w:val="center"/>
          </w:tcPr>
          <w:p w14:paraId="48A9C86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学科适配性</w:t>
            </w:r>
          </w:p>
        </w:tc>
        <w:tc>
          <w:tcPr>
            <w:tcW w:w="0" w:type="auto"/>
            <w:tcBorders>
              <w:tl2br w:val="nil"/>
              <w:tr2bl w:val="nil"/>
            </w:tcBorders>
            <w:shd w:val="clear" w:color="auto" w:fill="auto"/>
            <w:tcMar>
              <w:top w:w="90" w:type="dxa"/>
              <w:left w:w="135" w:type="dxa"/>
              <w:bottom w:w="90" w:type="dxa"/>
              <w:right w:w="135" w:type="dxa"/>
            </w:tcMar>
            <w:vAlign w:val="center"/>
          </w:tcPr>
          <w:p w14:paraId="143CC9E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思政话语符合学科人才培养目标的程度</w:t>
            </w:r>
          </w:p>
        </w:tc>
        <w:tc>
          <w:tcPr>
            <w:tcW w:w="0" w:type="auto"/>
            <w:tcBorders>
              <w:tl2br w:val="nil"/>
              <w:tr2bl w:val="nil"/>
            </w:tcBorders>
            <w:shd w:val="clear" w:color="auto" w:fill="auto"/>
            <w:tcMar>
              <w:top w:w="90" w:type="dxa"/>
              <w:left w:w="135" w:type="dxa"/>
              <w:bottom w:w="90" w:type="dxa"/>
              <w:right w:w="135" w:type="dxa"/>
            </w:tcMar>
            <w:vAlign w:val="center"/>
          </w:tcPr>
          <w:p w14:paraId="00014B6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分：高度适配，精准支撑；4 分：较适配，较好支撑；3 分：基本适配，基本支撑；2 分：适配性低，支撑不足；1 分：不适配，无支撑</w:t>
            </w:r>
          </w:p>
        </w:tc>
        <w:tc>
          <w:tcPr>
            <w:tcW w:w="0" w:type="auto"/>
            <w:tcBorders>
              <w:tl2br w:val="nil"/>
              <w:tr2bl w:val="nil"/>
            </w:tcBorders>
            <w:shd w:val="clear" w:color="auto" w:fill="auto"/>
            <w:tcMar>
              <w:top w:w="90" w:type="dxa"/>
              <w:left w:w="135" w:type="dxa"/>
              <w:bottom w:w="90" w:type="dxa"/>
              <w:right w:w="135" w:type="dxa"/>
            </w:tcMar>
            <w:vAlign w:val="center"/>
          </w:tcPr>
          <w:p w14:paraId="4ABF844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人才培养方案比对、专家评价</w:t>
            </w:r>
          </w:p>
        </w:tc>
      </w:tr>
      <w:tr w14:paraId="0B02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34B84F2C">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2FCF5A8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学生需求适配</w:t>
            </w:r>
          </w:p>
        </w:tc>
        <w:tc>
          <w:tcPr>
            <w:tcW w:w="0" w:type="auto"/>
            <w:tcBorders>
              <w:tl2br w:val="nil"/>
              <w:tr2bl w:val="nil"/>
            </w:tcBorders>
            <w:shd w:val="clear" w:color="auto" w:fill="auto"/>
            <w:tcMar>
              <w:top w:w="90" w:type="dxa"/>
              <w:left w:w="135" w:type="dxa"/>
              <w:bottom w:w="90" w:type="dxa"/>
              <w:right w:w="135" w:type="dxa"/>
            </w:tcMar>
            <w:vAlign w:val="center"/>
          </w:tcPr>
          <w:p w14:paraId="1EE1891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思政话语贴合学生认知特点与成长需求的程度</w:t>
            </w:r>
          </w:p>
        </w:tc>
        <w:tc>
          <w:tcPr>
            <w:tcW w:w="0" w:type="auto"/>
            <w:tcBorders>
              <w:tl2br w:val="nil"/>
              <w:tr2bl w:val="nil"/>
            </w:tcBorders>
            <w:shd w:val="clear" w:color="auto" w:fill="auto"/>
            <w:tcMar>
              <w:top w:w="90" w:type="dxa"/>
              <w:left w:w="135" w:type="dxa"/>
              <w:bottom w:w="90" w:type="dxa"/>
              <w:right w:w="135" w:type="dxa"/>
            </w:tcMar>
            <w:vAlign w:val="center"/>
          </w:tcPr>
          <w:p w14:paraId="176D4EC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分：完全贴合，学生认同度高；4 分：较贴合，认同度较高；3 分：基本贴合，认同度一般；2 分：贴合度低，认同度低；1 分：不贴合，无认同度</w:t>
            </w:r>
          </w:p>
        </w:tc>
        <w:tc>
          <w:tcPr>
            <w:tcW w:w="0" w:type="auto"/>
            <w:tcBorders>
              <w:tl2br w:val="nil"/>
              <w:tr2bl w:val="nil"/>
            </w:tcBorders>
            <w:shd w:val="clear" w:color="auto" w:fill="auto"/>
            <w:tcMar>
              <w:top w:w="90" w:type="dxa"/>
              <w:left w:w="135" w:type="dxa"/>
              <w:bottom w:w="90" w:type="dxa"/>
              <w:right w:w="135" w:type="dxa"/>
            </w:tcMar>
            <w:vAlign w:val="center"/>
          </w:tcPr>
          <w:p w14:paraId="6E502E6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学生问卷、焦点小组访谈</w:t>
            </w:r>
          </w:p>
        </w:tc>
      </w:tr>
    </w:tbl>
    <w:p w14:paraId="37492314">
      <w:pPr>
        <w:rPr>
          <w:rFonts w:hint="eastAsia"/>
        </w:rPr>
      </w:pPr>
    </w:p>
    <w:p w14:paraId="28F20A14">
      <w:pPr>
        <w:rPr>
          <w:rFonts w:hint="eastAsia"/>
        </w:rPr>
      </w:pPr>
      <w:r>
        <w:rPr>
          <w:rFonts w:hint="eastAsia"/>
        </w:rPr>
        <w:t>一级指标 3：话语方式创新（权重 0.20）</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156"/>
        <w:gridCol w:w="809"/>
        <w:gridCol w:w="1704"/>
        <w:gridCol w:w="3817"/>
        <w:gridCol w:w="1090"/>
      </w:tblGrid>
      <w:tr w14:paraId="73D9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tcBorders>
              <w:tl2br w:val="nil"/>
              <w:tr2bl w:val="nil"/>
            </w:tcBorders>
            <w:shd w:val="clear" w:color="auto" w:fill="F2F2F2"/>
            <w:tcMar>
              <w:top w:w="90" w:type="dxa"/>
              <w:left w:w="135" w:type="dxa"/>
              <w:bottom w:w="90" w:type="dxa"/>
              <w:right w:w="135" w:type="dxa"/>
            </w:tcMar>
            <w:vAlign w:val="center"/>
          </w:tcPr>
          <w:p w14:paraId="02C53614">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二级指标</w:t>
            </w:r>
          </w:p>
        </w:tc>
        <w:tc>
          <w:tcPr>
            <w:tcW w:w="0" w:type="auto"/>
            <w:tcBorders>
              <w:tl2br w:val="nil"/>
              <w:tr2bl w:val="nil"/>
            </w:tcBorders>
            <w:shd w:val="clear" w:color="auto" w:fill="F2F2F2"/>
            <w:tcMar>
              <w:top w:w="90" w:type="dxa"/>
              <w:left w:w="135" w:type="dxa"/>
              <w:bottom w:w="90" w:type="dxa"/>
              <w:right w:w="135" w:type="dxa"/>
            </w:tcMar>
            <w:vAlign w:val="center"/>
          </w:tcPr>
          <w:p w14:paraId="2C7A001E">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三级指标</w:t>
            </w:r>
          </w:p>
        </w:tc>
        <w:tc>
          <w:tcPr>
            <w:tcW w:w="0" w:type="auto"/>
            <w:tcBorders>
              <w:tl2br w:val="nil"/>
              <w:tr2bl w:val="nil"/>
            </w:tcBorders>
            <w:shd w:val="clear" w:color="auto" w:fill="F2F2F2"/>
            <w:tcMar>
              <w:top w:w="90" w:type="dxa"/>
              <w:left w:w="135" w:type="dxa"/>
              <w:bottom w:w="90" w:type="dxa"/>
              <w:right w:w="135" w:type="dxa"/>
            </w:tcMar>
            <w:vAlign w:val="center"/>
          </w:tcPr>
          <w:p w14:paraId="57105440">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指标定义</w:t>
            </w:r>
          </w:p>
        </w:tc>
        <w:tc>
          <w:tcPr>
            <w:tcW w:w="0" w:type="auto"/>
            <w:tcBorders>
              <w:tl2br w:val="nil"/>
              <w:tr2bl w:val="nil"/>
            </w:tcBorders>
            <w:shd w:val="clear" w:color="auto" w:fill="F2F2F2"/>
            <w:tcMar>
              <w:top w:w="90" w:type="dxa"/>
              <w:left w:w="135" w:type="dxa"/>
              <w:bottom w:w="90" w:type="dxa"/>
              <w:right w:w="135" w:type="dxa"/>
            </w:tcMar>
            <w:vAlign w:val="center"/>
          </w:tcPr>
          <w:p w14:paraId="3FAA7856">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评分标准（1-5 分）</w:t>
            </w:r>
          </w:p>
        </w:tc>
        <w:tc>
          <w:tcPr>
            <w:tcW w:w="0" w:type="auto"/>
            <w:tcBorders>
              <w:tl2br w:val="nil"/>
              <w:tr2bl w:val="nil"/>
            </w:tcBorders>
            <w:shd w:val="clear" w:color="auto" w:fill="F2F2F2"/>
            <w:tcMar>
              <w:top w:w="90" w:type="dxa"/>
              <w:left w:w="135" w:type="dxa"/>
              <w:bottom w:w="90" w:type="dxa"/>
              <w:right w:w="135" w:type="dxa"/>
            </w:tcMar>
            <w:vAlign w:val="center"/>
          </w:tcPr>
          <w:p w14:paraId="23B38CD4">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数据收集方法</w:t>
            </w:r>
          </w:p>
        </w:tc>
      </w:tr>
      <w:tr w14:paraId="14E0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1C0201B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表达多样性（0.3）</w:t>
            </w:r>
          </w:p>
        </w:tc>
        <w:tc>
          <w:tcPr>
            <w:tcW w:w="0" w:type="auto"/>
            <w:tcBorders>
              <w:tl2br w:val="nil"/>
              <w:tr2bl w:val="nil"/>
            </w:tcBorders>
            <w:shd w:val="clear" w:color="auto" w:fill="auto"/>
            <w:tcMar>
              <w:top w:w="90" w:type="dxa"/>
              <w:left w:w="135" w:type="dxa"/>
              <w:bottom w:w="90" w:type="dxa"/>
              <w:right w:w="135" w:type="dxa"/>
            </w:tcMar>
            <w:vAlign w:val="center"/>
          </w:tcPr>
          <w:p w14:paraId="144A637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语言表达丰富度</w:t>
            </w:r>
          </w:p>
        </w:tc>
        <w:tc>
          <w:tcPr>
            <w:tcW w:w="0" w:type="auto"/>
            <w:tcBorders>
              <w:tl2br w:val="nil"/>
              <w:tr2bl w:val="nil"/>
            </w:tcBorders>
            <w:shd w:val="clear" w:color="auto" w:fill="auto"/>
            <w:tcMar>
              <w:top w:w="90" w:type="dxa"/>
              <w:left w:w="135" w:type="dxa"/>
              <w:bottom w:w="90" w:type="dxa"/>
              <w:right w:w="135" w:type="dxa"/>
            </w:tcMar>
            <w:vAlign w:val="center"/>
          </w:tcPr>
          <w:p w14:paraId="04BAE1A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教师运用叙事、案例、辩论等语言方式的多样性</w:t>
            </w:r>
          </w:p>
        </w:tc>
        <w:tc>
          <w:tcPr>
            <w:tcW w:w="0" w:type="auto"/>
            <w:tcBorders>
              <w:tl2br w:val="nil"/>
              <w:tr2bl w:val="nil"/>
            </w:tcBorders>
            <w:shd w:val="clear" w:color="auto" w:fill="auto"/>
            <w:tcMar>
              <w:top w:w="90" w:type="dxa"/>
              <w:left w:w="135" w:type="dxa"/>
              <w:bottom w:w="90" w:type="dxa"/>
              <w:right w:w="135" w:type="dxa"/>
            </w:tcMar>
            <w:vAlign w:val="center"/>
          </w:tcPr>
          <w:p w14:paraId="18A655E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分：多种方式灵活运用；4 分：3-4 种方式运用较好；3 分：2-3 种方式基本运用；2 分：1 种方式为主；1 分：单一方式，枯燥说教</w:t>
            </w:r>
          </w:p>
        </w:tc>
        <w:tc>
          <w:tcPr>
            <w:tcW w:w="0" w:type="auto"/>
            <w:tcBorders>
              <w:tl2br w:val="nil"/>
              <w:tr2bl w:val="nil"/>
            </w:tcBorders>
            <w:shd w:val="clear" w:color="auto" w:fill="auto"/>
            <w:tcMar>
              <w:top w:w="90" w:type="dxa"/>
              <w:left w:w="135" w:type="dxa"/>
              <w:bottom w:w="90" w:type="dxa"/>
              <w:right w:w="135" w:type="dxa"/>
            </w:tcMar>
            <w:vAlign w:val="center"/>
          </w:tcPr>
          <w:p w14:paraId="54AF64E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课堂实录、学生问卷</w:t>
            </w:r>
          </w:p>
        </w:tc>
      </w:tr>
      <w:tr w14:paraId="14DF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249D91A0">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71F4FDF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实践方式多样性</w:t>
            </w:r>
          </w:p>
        </w:tc>
        <w:tc>
          <w:tcPr>
            <w:tcW w:w="0" w:type="auto"/>
            <w:tcBorders>
              <w:tl2br w:val="nil"/>
              <w:tr2bl w:val="nil"/>
            </w:tcBorders>
            <w:shd w:val="clear" w:color="auto" w:fill="auto"/>
            <w:tcMar>
              <w:top w:w="90" w:type="dxa"/>
              <w:left w:w="135" w:type="dxa"/>
              <w:bottom w:w="90" w:type="dxa"/>
              <w:right w:w="135" w:type="dxa"/>
            </w:tcMar>
            <w:vAlign w:val="center"/>
          </w:tcPr>
          <w:p w14:paraId="53F5C2D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教师运用项目、实训、志愿服务等实践方式的程度</w:t>
            </w:r>
          </w:p>
        </w:tc>
        <w:tc>
          <w:tcPr>
            <w:tcW w:w="0" w:type="auto"/>
            <w:tcBorders>
              <w:tl2br w:val="nil"/>
              <w:tr2bl w:val="nil"/>
            </w:tcBorders>
            <w:shd w:val="clear" w:color="auto" w:fill="auto"/>
            <w:tcMar>
              <w:top w:w="90" w:type="dxa"/>
              <w:left w:w="135" w:type="dxa"/>
              <w:bottom w:w="90" w:type="dxa"/>
              <w:right w:w="135" w:type="dxa"/>
            </w:tcMar>
            <w:vAlign w:val="center"/>
          </w:tcPr>
          <w:p w14:paraId="001B398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分：多种实践方式常态化；4 分：2-3 种实践方式经常运用；3 分：1-2 种实践方式偶尔运用；2 分：极少运用实践方式；1 分：无实践方式</w:t>
            </w:r>
          </w:p>
        </w:tc>
        <w:tc>
          <w:tcPr>
            <w:tcW w:w="0" w:type="auto"/>
            <w:tcBorders>
              <w:tl2br w:val="nil"/>
              <w:tr2bl w:val="nil"/>
            </w:tcBorders>
            <w:shd w:val="clear" w:color="auto" w:fill="auto"/>
            <w:tcMar>
              <w:top w:w="90" w:type="dxa"/>
              <w:left w:w="135" w:type="dxa"/>
              <w:bottom w:w="90" w:type="dxa"/>
              <w:right w:w="135" w:type="dxa"/>
            </w:tcMar>
            <w:vAlign w:val="center"/>
          </w:tcPr>
          <w:p w14:paraId="2677EB8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实践教学记录、学生访谈</w:t>
            </w:r>
          </w:p>
        </w:tc>
      </w:tr>
      <w:tr w14:paraId="62B3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2B86DD96">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3EFB71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数字方式多样性</w:t>
            </w:r>
          </w:p>
        </w:tc>
        <w:tc>
          <w:tcPr>
            <w:tcW w:w="0" w:type="auto"/>
            <w:tcBorders>
              <w:tl2br w:val="nil"/>
              <w:tr2bl w:val="nil"/>
            </w:tcBorders>
            <w:shd w:val="clear" w:color="auto" w:fill="auto"/>
            <w:tcMar>
              <w:top w:w="90" w:type="dxa"/>
              <w:left w:w="135" w:type="dxa"/>
              <w:bottom w:w="90" w:type="dxa"/>
              <w:right w:w="135" w:type="dxa"/>
            </w:tcMar>
            <w:vAlign w:val="center"/>
          </w:tcPr>
          <w:p w14:paraId="49289D5D">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教师运用微课、虚拟仿真、新媒体等数字方式的程度</w:t>
            </w:r>
          </w:p>
        </w:tc>
        <w:tc>
          <w:tcPr>
            <w:tcW w:w="0" w:type="auto"/>
            <w:tcBorders>
              <w:tl2br w:val="nil"/>
              <w:tr2bl w:val="nil"/>
            </w:tcBorders>
            <w:shd w:val="clear" w:color="auto" w:fill="auto"/>
            <w:tcMar>
              <w:top w:w="90" w:type="dxa"/>
              <w:left w:w="135" w:type="dxa"/>
              <w:bottom w:w="90" w:type="dxa"/>
              <w:right w:w="135" w:type="dxa"/>
            </w:tcMar>
            <w:vAlign w:val="center"/>
          </w:tcPr>
          <w:p w14:paraId="7DB8609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分：多种数字方式熟练运用；4 分：2-3 种数字方式较熟练；3 分：1-2 种数字方式基本运用；2 分：极少运用数字方式；1 分：无数字方式</w:t>
            </w:r>
          </w:p>
        </w:tc>
        <w:tc>
          <w:tcPr>
            <w:tcW w:w="0" w:type="auto"/>
            <w:tcBorders>
              <w:tl2br w:val="nil"/>
              <w:tr2bl w:val="nil"/>
            </w:tcBorders>
            <w:shd w:val="clear" w:color="auto" w:fill="auto"/>
            <w:tcMar>
              <w:top w:w="90" w:type="dxa"/>
              <w:left w:w="135" w:type="dxa"/>
              <w:bottom w:w="90" w:type="dxa"/>
              <w:right w:w="135" w:type="dxa"/>
            </w:tcMar>
            <w:vAlign w:val="center"/>
          </w:tcPr>
          <w:p w14:paraId="4092713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教学资源分析、课堂观察</w:t>
            </w:r>
          </w:p>
        </w:tc>
      </w:tr>
      <w:tr w14:paraId="1AC1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289DB44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互动性（0.3）</w:t>
            </w:r>
          </w:p>
        </w:tc>
        <w:tc>
          <w:tcPr>
            <w:tcW w:w="0" w:type="auto"/>
            <w:tcBorders>
              <w:tl2br w:val="nil"/>
              <w:tr2bl w:val="nil"/>
            </w:tcBorders>
            <w:shd w:val="clear" w:color="auto" w:fill="auto"/>
            <w:tcMar>
              <w:top w:w="90" w:type="dxa"/>
              <w:left w:w="135" w:type="dxa"/>
              <w:bottom w:w="90" w:type="dxa"/>
              <w:right w:w="135" w:type="dxa"/>
            </w:tcMar>
            <w:vAlign w:val="center"/>
          </w:tcPr>
          <w:p w14:paraId="044673C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师生互动频率</w:t>
            </w:r>
          </w:p>
        </w:tc>
        <w:tc>
          <w:tcPr>
            <w:tcW w:w="0" w:type="auto"/>
            <w:tcBorders>
              <w:tl2br w:val="nil"/>
              <w:tr2bl w:val="nil"/>
            </w:tcBorders>
            <w:shd w:val="clear" w:color="auto" w:fill="auto"/>
            <w:tcMar>
              <w:top w:w="90" w:type="dxa"/>
              <w:left w:w="135" w:type="dxa"/>
              <w:bottom w:w="90" w:type="dxa"/>
              <w:right w:w="135" w:type="dxa"/>
            </w:tcMar>
            <w:vAlign w:val="center"/>
          </w:tcPr>
          <w:p w14:paraId="1972606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课堂中师生围绕思政话语的互动次数与密度</w:t>
            </w:r>
          </w:p>
        </w:tc>
        <w:tc>
          <w:tcPr>
            <w:tcW w:w="0" w:type="auto"/>
            <w:tcBorders>
              <w:tl2br w:val="nil"/>
              <w:tr2bl w:val="nil"/>
            </w:tcBorders>
            <w:shd w:val="clear" w:color="auto" w:fill="auto"/>
            <w:tcMar>
              <w:top w:w="90" w:type="dxa"/>
              <w:left w:w="135" w:type="dxa"/>
              <w:bottom w:w="90" w:type="dxa"/>
              <w:right w:w="135" w:type="dxa"/>
            </w:tcMar>
            <w:vAlign w:val="center"/>
          </w:tcPr>
          <w:p w14:paraId="60233EE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分：高频互动，贯穿全程；4 分：较频繁互动，覆盖主要环节；3 分：偶尔互动，覆盖部分环节；2 分：极少互动；1 分：无互动</w:t>
            </w:r>
          </w:p>
        </w:tc>
        <w:tc>
          <w:tcPr>
            <w:tcW w:w="0" w:type="auto"/>
            <w:tcBorders>
              <w:tl2br w:val="nil"/>
              <w:tr2bl w:val="nil"/>
            </w:tcBorders>
            <w:shd w:val="clear" w:color="auto" w:fill="auto"/>
            <w:tcMar>
              <w:top w:w="90" w:type="dxa"/>
              <w:left w:w="135" w:type="dxa"/>
              <w:bottom w:w="90" w:type="dxa"/>
              <w:right w:w="135" w:type="dxa"/>
            </w:tcMar>
            <w:vAlign w:val="center"/>
          </w:tcPr>
          <w:p w14:paraId="1E009AB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课堂实录统计、学生问卷</w:t>
            </w:r>
          </w:p>
        </w:tc>
      </w:tr>
      <w:tr w14:paraId="4378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73C84E29">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3B410CE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互动深度</w:t>
            </w:r>
          </w:p>
        </w:tc>
        <w:tc>
          <w:tcPr>
            <w:tcW w:w="0" w:type="auto"/>
            <w:tcBorders>
              <w:tl2br w:val="nil"/>
              <w:tr2bl w:val="nil"/>
            </w:tcBorders>
            <w:shd w:val="clear" w:color="auto" w:fill="auto"/>
            <w:tcMar>
              <w:top w:w="90" w:type="dxa"/>
              <w:left w:w="135" w:type="dxa"/>
              <w:bottom w:w="90" w:type="dxa"/>
              <w:right w:w="135" w:type="dxa"/>
            </w:tcMar>
            <w:vAlign w:val="center"/>
          </w:tcPr>
          <w:p w14:paraId="66812E8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师生互动触及思政内涵的深刻程度</w:t>
            </w:r>
          </w:p>
        </w:tc>
        <w:tc>
          <w:tcPr>
            <w:tcW w:w="0" w:type="auto"/>
            <w:tcBorders>
              <w:tl2br w:val="nil"/>
              <w:tr2bl w:val="nil"/>
            </w:tcBorders>
            <w:shd w:val="clear" w:color="auto" w:fill="auto"/>
            <w:tcMar>
              <w:top w:w="90" w:type="dxa"/>
              <w:left w:w="135" w:type="dxa"/>
              <w:bottom w:w="90" w:type="dxa"/>
              <w:right w:w="135" w:type="dxa"/>
            </w:tcMar>
            <w:vAlign w:val="center"/>
          </w:tcPr>
          <w:p w14:paraId="226E172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分：深度研讨，价值共鸣；4 分：较深入交流，有共鸣；3 分：基本交流，共鸣一般；2 分：表面交流，无共鸣；1 分：无实质交流</w:t>
            </w:r>
          </w:p>
        </w:tc>
        <w:tc>
          <w:tcPr>
            <w:tcW w:w="0" w:type="auto"/>
            <w:tcBorders>
              <w:tl2br w:val="nil"/>
              <w:tr2bl w:val="nil"/>
            </w:tcBorders>
            <w:shd w:val="clear" w:color="auto" w:fill="auto"/>
            <w:tcMar>
              <w:top w:w="90" w:type="dxa"/>
              <w:left w:w="135" w:type="dxa"/>
              <w:bottom w:w="90" w:type="dxa"/>
              <w:right w:w="135" w:type="dxa"/>
            </w:tcMar>
            <w:vAlign w:val="center"/>
          </w:tcPr>
          <w:p w14:paraId="1F7CEC5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课堂实录分析、访谈</w:t>
            </w:r>
          </w:p>
        </w:tc>
      </w:tr>
      <w:tr w14:paraId="57A1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35E8705">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F65882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生生互动效果</w:t>
            </w:r>
          </w:p>
        </w:tc>
        <w:tc>
          <w:tcPr>
            <w:tcW w:w="0" w:type="auto"/>
            <w:tcBorders>
              <w:tl2br w:val="nil"/>
              <w:tr2bl w:val="nil"/>
            </w:tcBorders>
            <w:shd w:val="clear" w:color="auto" w:fill="auto"/>
            <w:tcMar>
              <w:top w:w="90" w:type="dxa"/>
              <w:left w:w="135" w:type="dxa"/>
              <w:bottom w:w="90" w:type="dxa"/>
              <w:right w:w="135" w:type="dxa"/>
            </w:tcMar>
            <w:vAlign w:val="center"/>
          </w:tcPr>
          <w:p w14:paraId="09C596A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学生之间围绕思政话语的协作与交流效果</w:t>
            </w:r>
          </w:p>
        </w:tc>
        <w:tc>
          <w:tcPr>
            <w:tcW w:w="0" w:type="auto"/>
            <w:tcBorders>
              <w:tl2br w:val="nil"/>
              <w:tr2bl w:val="nil"/>
            </w:tcBorders>
            <w:shd w:val="clear" w:color="auto" w:fill="auto"/>
            <w:tcMar>
              <w:top w:w="90" w:type="dxa"/>
              <w:left w:w="135" w:type="dxa"/>
              <w:bottom w:w="90" w:type="dxa"/>
              <w:right w:w="135" w:type="dxa"/>
            </w:tcMar>
            <w:vAlign w:val="center"/>
          </w:tcPr>
          <w:p w14:paraId="088DE02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分：充分协作，思想碰撞；4 分：较协作，有交流；3 分：基本协作，交流一般；2 分：协作薄弱，交流有限；1 分：无协作，无交流</w:t>
            </w:r>
          </w:p>
        </w:tc>
        <w:tc>
          <w:tcPr>
            <w:tcW w:w="0" w:type="auto"/>
            <w:tcBorders>
              <w:tl2br w:val="nil"/>
              <w:tr2bl w:val="nil"/>
            </w:tcBorders>
            <w:shd w:val="clear" w:color="auto" w:fill="auto"/>
            <w:tcMar>
              <w:top w:w="90" w:type="dxa"/>
              <w:left w:w="135" w:type="dxa"/>
              <w:bottom w:w="90" w:type="dxa"/>
              <w:right w:w="135" w:type="dxa"/>
            </w:tcMar>
            <w:vAlign w:val="center"/>
          </w:tcPr>
          <w:p w14:paraId="4992FD1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小组活动记录、学生评价</w:t>
            </w:r>
          </w:p>
        </w:tc>
      </w:tr>
      <w:tr w14:paraId="482A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6616B5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技术赋能（0.2）</w:t>
            </w:r>
          </w:p>
        </w:tc>
        <w:tc>
          <w:tcPr>
            <w:tcW w:w="0" w:type="auto"/>
            <w:tcBorders>
              <w:tl2br w:val="nil"/>
              <w:tr2bl w:val="nil"/>
            </w:tcBorders>
            <w:shd w:val="clear" w:color="auto" w:fill="auto"/>
            <w:tcMar>
              <w:top w:w="90" w:type="dxa"/>
              <w:left w:w="135" w:type="dxa"/>
              <w:bottom w:w="90" w:type="dxa"/>
              <w:right w:w="135" w:type="dxa"/>
            </w:tcMar>
            <w:vAlign w:val="center"/>
          </w:tcPr>
          <w:p w14:paraId="7EDF297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数字资源质量</w:t>
            </w:r>
          </w:p>
        </w:tc>
        <w:tc>
          <w:tcPr>
            <w:tcW w:w="0" w:type="auto"/>
            <w:tcBorders>
              <w:tl2br w:val="nil"/>
              <w:tr2bl w:val="nil"/>
            </w:tcBorders>
            <w:shd w:val="clear" w:color="auto" w:fill="auto"/>
            <w:tcMar>
              <w:top w:w="90" w:type="dxa"/>
              <w:left w:w="135" w:type="dxa"/>
              <w:bottom w:w="90" w:type="dxa"/>
              <w:right w:w="135" w:type="dxa"/>
            </w:tcMar>
            <w:vAlign w:val="center"/>
          </w:tcPr>
          <w:p w14:paraId="539E509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课程思政数字资源的专业性、吸引力</w:t>
            </w:r>
          </w:p>
        </w:tc>
        <w:tc>
          <w:tcPr>
            <w:tcW w:w="0" w:type="auto"/>
            <w:tcBorders>
              <w:tl2br w:val="nil"/>
              <w:tr2bl w:val="nil"/>
            </w:tcBorders>
            <w:shd w:val="clear" w:color="auto" w:fill="auto"/>
            <w:tcMar>
              <w:top w:w="90" w:type="dxa"/>
              <w:left w:w="135" w:type="dxa"/>
              <w:bottom w:w="90" w:type="dxa"/>
              <w:right w:w="135" w:type="dxa"/>
            </w:tcMar>
            <w:vAlign w:val="center"/>
          </w:tcPr>
          <w:p w14:paraId="04F878E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分：资源优质，吸引力强；4 分：资源较好，有吸引力；3 分：资源一般，吸引力一般；2 分：资源较差，吸引力弱；1 分：无数字资源</w:t>
            </w:r>
          </w:p>
        </w:tc>
        <w:tc>
          <w:tcPr>
            <w:tcW w:w="0" w:type="auto"/>
            <w:tcBorders>
              <w:tl2br w:val="nil"/>
              <w:tr2bl w:val="nil"/>
            </w:tcBorders>
            <w:shd w:val="clear" w:color="auto" w:fill="auto"/>
            <w:tcMar>
              <w:top w:w="90" w:type="dxa"/>
              <w:left w:w="135" w:type="dxa"/>
              <w:bottom w:w="90" w:type="dxa"/>
              <w:right w:w="135" w:type="dxa"/>
            </w:tcMar>
            <w:vAlign w:val="center"/>
          </w:tcPr>
          <w:p w14:paraId="4771619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数字平台审查、学生问卷</w:t>
            </w:r>
          </w:p>
        </w:tc>
      </w:tr>
      <w:tr w14:paraId="7394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795D9D11">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68D9C9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技术应用成效</w:t>
            </w:r>
          </w:p>
        </w:tc>
        <w:tc>
          <w:tcPr>
            <w:tcW w:w="0" w:type="auto"/>
            <w:tcBorders>
              <w:tl2br w:val="nil"/>
              <w:tr2bl w:val="nil"/>
            </w:tcBorders>
            <w:shd w:val="clear" w:color="auto" w:fill="auto"/>
            <w:tcMar>
              <w:top w:w="90" w:type="dxa"/>
              <w:left w:w="135" w:type="dxa"/>
              <w:bottom w:w="90" w:type="dxa"/>
              <w:right w:w="135" w:type="dxa"/>
            </w:tcMar>
            <w:vAlign w:val="center"/>
          </w:tcPr>
          <w:p w14:paraId="45873F1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数字技术提升思政话语传递效果的程度</w:t>
            </w:r>
          </w:p>
        </w:tc>
        <w:tc>
          <w:tcPr>
            <w:tcW w:w="0" w:type="auto"/>
            <w:tcBorders>
              <w:tl2br w:val="nil"/>
              <w:tr2bl w:val="nil"/>
            </w:tcBorders>
            <w:shd w:val="clear" w:color="auto" w:fill="auto"/>
            <w:tcMar>
              <w:top w:w="90" w:type="dxa"/>
              <w:left w:w="135" w:type="dxa"/>
              <w:bottom w:w="90" w:type="dxa"/>
              <w:right w:w="135" w:type="dxa"/>
            </w:tcMar>
            <w:vAlign w:val="center"/>
          </w:tcPr>
          <w:p w14:paraId="34D07AB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分：显著提升，效果极佳；4 分：较提升，效果较好；3 分：基本提升，效果一般；2 分：略有提升，效果较差；1 分：无提升，效果无变化</w:t>
            </w:r>
          </w:p>
        </w:tc>
        <w:tc>
          <w:tcPr>
            <w:tcW w:w="0" w:type="auto"/>
            <w:tcBorders>
              <w:tl2br w:val="nil"/>
              <w:tr2bl w:val="nil"/>
            </w:tcBorders>
            <w:shd w:val="clear" w:color="auto" w:fill="auto"/>
            <w:tcMar>
              <w:top w:w="90" w:type="dxa"/>
              <w:left w:w="135" w:type="dxa"/>
              <w:bottom w:w="90" w:type="dxa"/>
              <w:right w:w="135" w:type="dxa"/>
            </w:tcMar>
            <w:vAlign w:val="center"/>
          </w:tcPr>
          <w:p w14:paraId="62B9756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技术应用记录、成效对比</w:t>
            </w:r>
          </w:p>
        </w:tc>
      </w:tr>
      <w:tr w14:paraId="7DD2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142FA7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实践导向（0.2）</w:t>
            </w:r>
          </w:p>
        </w:tc>
        <w:tc>
          <w:tcPr>
            <w:tcW w:w="0" w:type="auto"/>
            <w:tcBorders>
              <w:tl2br w:val="nil"/>
              <w:tr2bl w:val="nil"/>
            </w:tcBorders>
            <w:shd w:val="clear" w:color="auto" w:fill="auto"/>
            <w:tcMar>
              <w:top w:w="90" w:type="dxa"/>
              <w:left w:w="135" w:type="dxa"/>
              <w:bottom w:w="90" w:type="dxa"/>
              <w:right w:w="135" w:type="dxa"/>
            </w:tcMar>
            <w:vAlign w:val="center"/>
          </w:tcPr>
          <w:p w14:paraId="03CC237D">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实践项目思政设计</w:t>
            </w:r>
          </w:p>
        </w:tc>
        <w:tc>
          <w:tcPr>
            <w:tcW w:w="0" w:type="auto"/>
            <w:tcBorders>
              <w:tl2br w:val="nil"/>
              <w:tr2bl w:val="nil"/>
            </w:tcBorders>
            <w:shd w:val="clear" w:color="auto" w:fill="auto"/>
            <w:tcMar>
              <w:top w:w="90" w:type="dxa"/>
              <w:left w:w="135" w:type="dxa"/>
              <w:bottom w:w="90" w:type="dxa"/>
              <w:right w:w="135" w:type="dxa"/>
            </w:tcMar>
            <w:vAlign w:val="center"/>
          </w:tcPr>
          <w:p w14:paraId="0EEAA61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实践项目中思政目标、内容的设计完善度</w:t>
            </w:r>
          </w:p>
        </w:tc>
        <w:tc>
          <w:tcPr>
            <w:tcW w:w="0" w:type="auto"/>
            <w:tcBorders>
              <w:tl2br w:val="nil"/>
              <w:tr2bl w:val="nil"/>
            </w:tcBorders>
            <w:shd w:val="clear" w:color="auto" w:fill="auto"/>
            <w:tcMar>
              <w:top w:w="90" w:type="dxa"/>
              <w:left w:w="135" w:type="dxa"/>
              <w:bottom w:w="90" w:type="dxa"/>
              <w:right w:w="135" w:type="dxa"/>
            </w:tcMar>
            <w:vAlign w:val="center"/>
          </w:tcPr>
          <w:p w14:paraId="3496AD4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分：设计完善，贯穿全程；4 分：设计较完善，覆盖主要环节；3 分：基本设计，覆盖部分环节；2 分：设计薄弱，痕迹化；1 分：无设计</w:t>
            </w:r>
          </w:p>
        </w:tc>
        <w:tc>
          <w:tcPr>
            <w:tcW w:w="0" w:type="auto"/>
            <w:tcBorders>
              <w:tl2br w:val="nil"/>
              <w:tr2bl w:val="nil"/>
            </w:tcBorders>
            <w:shd w:val="clear" w:color="auto" w:fill="auto"/>
            <w:tcMar>
              <w:top w:w="90" w:type="dxa"/>
              <w:left w:w="135" w:type="dxa"/>
              <w:bottom w:w="90" w:type="dxa"/>
              <w:right w:w="135" w:type="dxa"/>
            </w:tcMar>
            <w:vAlign w:val="center"/>
          </w:tcPr>
          <w:p w14:paraId="45B5E50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实践项目方案、教案分析</w:t>
            </w:r>
          </w:p>
        </w:tc>
      </w:tr>
      <w:tr w14:paraId="0CFE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1A07B16">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558A809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实践话语转化</w:t>
            </w:r>
          </w:p>
        </w:tc>
        <w:tc>
          <w:tcPr>
            <w:tcW w:w="0" w:type="auto"/>
            <w:tcBorders>
              <w:tl2br w:val="nil"/>
              <w:tr2bl w:val="nil"/>
            </w:tcBorders>
            <w:shd w:val="clear" w:color="auto" w:fill="auto"/>
            <w:tcMar>
              <w:top w:w="90" w:type="dxa"/>
              <w:left w:w="135" w:type="dxa"/>
              <w:bottom w:w="90" w:type="dxa"/>
              <w:right w:w="135" w:type="dxa"/>
            </w:tcMar>
            <w:vAlign w:val="center"/>
          </w:tcPr>
          <w:p w14:paraId="6EA51F3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学生在实践中内化思政话语的程度</w:t>
            </w:r>
          </w:p>
        </w:tc>
        <w:tc>
          <w:tcPr>
            <w:tcW w:w="0" w:type="auto"/>
            <w:tcBorders>
              <w:tl2br w:val="nil"/>
              <w:tr2bl w:val="nil"/>
            </w:tcBorders>
            <w:shd w:val="clear" w:color="auto" w:fill="auto"/>
            <w:tcMar>
              <w:top w:w="90" w:type="dxa"/>
              <w:left w:w="135" w:type="dxa"/>
              <w:bottom w:w="90" w:type="dxa"/>
              <w:right w:w="135" w:type="dxa"/>
            </w:tcMar>
            <w:vAlign w:val="center"/>
          </w:tcPr>
          <w:p w14:paraId="4C7A053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分：完全转化，行为自觉；4 分：较好转化，行为较自觉；3 分：基本转化，行为偶尔体现；2 分：转化不足，行为罕见；1 分：无转化</w:t>
            </w:r>
          </w:p>
        </w:tc>
        <w:tc>
          <w:tcPr>
            <w:tcW w:w="0" w:type="auto"/>
            <w:tcBorders>
              <w:tl2br w:val="nil"/>
              <w:tr2bl w:val="nil"/>
            </w:tcBorders>
            <w:shd w:val="clear" w:color="auto" w:fill="auto"/>
            <w:tcMar>
              <w:top w:w="90" w:type="dxa"/>
              <w:left w:w="135" w:type="dxa"/>
              <w:bottom w:w="90" w:type="dxa"/>
              <w:right w:w="135" w:type="dxa"/>
            </w:tcMar>
            <w:vAlign w:val="center"/>
          </w:tcPr>
          <w:p w14:paraId="7635D75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实践报告、企业反馈</w:t>
            </w:r>
          </w:p>
        </w:tc>
      </w:tr>
    </w:tbl>
    <w:p w14:paraId="579068C7">
      <w:pPr>
        <w:rPr>
          <w:rFonts w:hint="eastAsia"/>
        </w:rPr>
      </w:pPr>
    </w:p>
    <w:p w14:paraId="28C71405">
      <w:pPr>
        <w:rPr>
          <w:rFonts w:hint="eastAsia"/>
        </w:rPr>
      </w:pPr>
      <w:r>
        <w:rPr>
          <w:rFonts w:hint="eastAsia"/>
        </w:rPr>
        <w:t>一级指标 4：话语语境建设（权重 0.15）</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153"/>
        <w:gridCol w:w="755"/>
        <w:gridCol w:w="1593"/>
        <w:gridCol w:w="3888"/>
        <w:gridCol w:w="1187"/>
      </w:tblGrid>
      <w:tr w14:paraId="6EF1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Header/>
        </w:trPr>
        <w:tc>
          <w:tcPr>
            <w:tcW w:w="0" w:type="auto"/>
            <w:tcBorders>
              <w:tl2br w:val="nil"/>
              <w:tr2bl w:val="nil"/>
            </w:tcBorders>
            <w:shd w:val="clear" w:color="auto" w:fill="F2F2F2"/>
            <w:tcMar>
              <w:top w:w="90" w:type="dxa"/>
              <w:left w:w="135" w:type="dxa"/>
              <w:bottom w:w="90" w:type="dxa"/>
              <w:right w:w="135" w:type="dxa"/>
            </w:tcMar>
            <w:vAlign w:val="center"/>
          </w:tcPr>
          <w:p w14:paraId="6BF69DAD">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二级指标</w:t>
            </w:r>
          </w:p>
        </w:tc>
        <w:tc>
          <w:tcPr>
            <w:tcW w:w="0" w:type="auto"/>
            <w:tcBorders>
              <w:tl2br w:val="nil"/>
              <w:tr2bl w:val="nil"/>
            </w:tcBorders>
            <w:shd w:val="clear" w:color="auto" w:fill="F2F2F2"/>
            <w:tcMar>
              <w:top w:w="90" w:type="dxa"/>
              <w:left w:w="135" w:type="dxa"/>
              <w:bottom w:w="90" w:type="dxa"/>
              <w:right w:w="135" w:type="dxa"/>
            </w:tcMar>
            <w:vAlign w:val="center"/>
          </w:tcPr>
          <w:p w14:paraId="0CE1A7C8">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三级指标</w:t>
            </w:r>
          </w:p>
        </w:tc>
        <w:tc>
          <w:tcPr>
            <w:tcW w:w="0" w:type="auto"/>
            <w:tcBorders>
              <w:tl2br w:val="nil"/>
              <w:tr2bl w:val="nil"/>
            </w:tcBorders>
            <w:shd w:val="clear" w:color="auto" w:fill="F2F2F2"/>
            <w:tcMar>
              <w:top w:w="90" w:type="dxa"/>
              <w:left w:w="135" w:type="dxa"/>
              <w:bottom w:w="90" w:type="dxa"/>
              <w:right w:w="135" w:type="dxa"/>
            </w:tcMar>
            <w:vAlign w:val="center"/>
          </w:tcPr>
          <w:p w14:paraId="54F97F45">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指标定义</w:t>
            </w:r>
          </w:p>
        </w:tc>
        <w:tc>
          <w:tcPr>
            <w:tcW w:w="0" w:type="auto"/>
            <w:tcBorders>
              <w:tl2br w:val="nil"/>
              <w:tr2bl w:val="nil"/>
            </w:tcBorders>
            <w:shd w:val="clear" w:color="auto" w:fill="F2F2F2"/>
            <w:tcMar>
              <w:top w:w="90" w:type="dxa"/>
              <w:left w:w="135" w:type="dxa"/>
              <w:bottom w:w="90" w:type="dxa"/>
              <w:right w:w="135" w:type="dxa"/>
            </w:tcMar>
            <w:vAlign w:val="center"/>
          </w:tcPr>
          <w:p w14:paraId="7F2CF556">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评分标准（1-5 分）</w:t>
            </w:r>
          </w:p>
        </w:tc>
        <w:tc>
          <w:tcPr>
            <w:tcW w:w="0" w:type="auto"/>
            <w:tcBorders>
              <w:tl2br w:val="nil"/>
              <w:tr2bl w:val="nil"/>
            </w:tcBorders>
            <w:shd w:val="clear" w:color="auto" w:fill="F2F2F2"/>
            <w:tcMar>
              <w:top w:w="90" w:type="dxa"/>
              <w:left w:w="135" w:type="dxa"/>
              <w:bottom w:w="90" w:type="dxa"/>
              <w:right w:w="135" w:type="dxa"/>
            </w:tcMar>
            <w:vAlign w:val="center"/>
          </w:tcPr>
          <w:p w14:paraId="46A42615">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数据收集方法</w:t>
            </w:r>
          </w:p>
        </w:tc>
      </w:tr>
      <w:tr w14:paraId="2D61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8421C0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场域协同性（0.4）</w:t>
            </w:r>
          </w:p>
        </w:tc>
        <w:tc>
          <w:tcPr>
            <w:tcW w:w="0" w:type="auto"/>
            <w:tcBorders>
              <w:tl2br w:val="nil"/>
              <w:tr2bl w:val="nil"/>
            </w:tcBorders>
            <w:shd w:val="clear" w:color="auto" w:fill="auto"/>
            <w:tcMar>
              <w:top w:w="90" w:type="dxa"/>
              <w:left w:w="135" w:type="dxa"/>
              <w:bottom w:w="90" w:type="dxa"/>
              <w:right w:w="135" w:type="dxa"/>
            </w:tcMar>
            <w:vAlign w:val="center"/>
          </w:tcPr>
          <w:p w14:paraId="71B5775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课堂与校园协同</w:t>
            </w:r>
          </w:p>
        </w:tc>
        <w:tc>
          <w:tcPr>
            <w:tcW w:w="0" w:type="auto"/>
            <w:tcBorders>
              <w:tl2br w:val="nil"/>
              <w:tr2bl w:val="nil"/>
            </w:tcBorders>
            <w:shd w:val="clear" w:color="auto" w:fill="auto"/>
            <w:tcMar>
              <w:top w:w="90" w:type="dxa"/>
              <w:left w:w="135" w:type="dxa"/>
              <w:bottom w:w="90" w:type="dxa"/>
              <w:right w:w="135" w:type="dxa"/>
            </w:tcMar>
            <w:vAlign w:val="center"/>
          </w:tcPr>
          <w:p w14:paraId="3D054FE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课堂思政话语与校园文化氛围的呼应程度</w:t>
            </w:r>
          </w:p>
        </w:tc>
        <w:tc>
          <w:tcPr>
            <w:tcW w:w="0" w:type="auto"/>
            <w:tcBorders>
              <w:tl2br w:val="nil"/>
              <w:tr2bl w:val="nil"/>
            </w:tcBorders>
            <w:shd w:val="clear" w:color="auto" w:fill="auto"/>
            <w:tcMar>
              <w:top w:w="90" w:type="dxa"/>
              <w:left w:w="135" w:type="dxa"/>
              <w:bottom w:w="90" w:type="dxa"/>
              <w:right w:w="135" w:type="dxa"/>
            </w:tcMar>
            <w:vAlign w:val="center"/>
          </w:tcPr>
          <w:p w14:paraId="74C749A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分：高度协同，无缝衔接；4 分：较协同，衔接较好；3 分：基本协同，衔接一般；2 分：协同不足，衔接松散；1 分：无协同，完全脱节</w:t>
            </w:r>
          </w:p>
        </w:tc>
        <w:tc>
          <w:tcPr>
            <w:tcW w:w="0" w:type="auto"/>
            <w:tcBorders>
              <w:tl2br w:val="nil"/>
              <w:tr2bl w:val="nil"/>
            </w:tcBorders>
            <w:shd w:val="clear" w:color="auto" w:fill="auto"/>
            <w:tcMar>
              <w:top w:w="90" w:type="dxa"/>
              <w:left w:w="135" w:type="dxa"/>
              <w:bottom w:w="90" w:type="dxa"/>
              <w:right w:w="135" w:type="dxa"/>
            </w:tcMar>
            <w:vAlign w:val="center"/>
          </w:tcPr>
          <w:p w14:paraId="47ABF00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校园环境考察、学生问卷</w:t>
            </w:r>
          </w:p>
        </w:tc>
      </w:tr>
      <w:tr w14:paraId="633D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11D2E9DF">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229CDF7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校园与行业协同</w:t>
            </w:r>
          </w:p>
        </w:tc>
        <w:tc>
          <w:tcPr>
            <w:tcW w:w="0" w:type="auto"/>
            <w:tcBorders>
              <w:tl2br w:val="nil"/>
              <w:tr2bl w:val="nil"/>
            </w:tcBorders>
            <w:shd w:val="clear" w:color="auto" w:fill="auto"/>
            <w:tcMar>
              <w:top w:w="90" w:type="dxa"/>
              <w:left w:w="135" w:type="dxa"/>
              <w:bottom w:w="90" w:type="dxa"/>
              <w:right w:w="135" w:type="dxa"/>
            </w:tcMar>
            <w:vAlign w:val="center"/>
          </w:tcPr>
          <w:p w14:paraId="04D9E5A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校园思政话语与行业实践场景的联动程度</w:t>
            </w:r>
          </w:p>
        </w:tc>
        <w:tc>
          <w:tcPr>
            <w:tcW w:w="0" w:type="auto"/>
            <w:tcBorders>
              <w:tl2br w:val="nil"/>
              <w:tr2bl w:val="nil"/>
            </w:tcBorders>
            <w:shd w:val="clear" w:color="auto" w:fill="auto"/>
            <w:tcMar>
              <w:top w:w="90" w:type="dxa"/>
              <w:left w:w="135" w:type="dxa"/>
              <w:bottom w:w="90" w:type="dxa"/>
              <w:right w:w="135" w:type="dxa"/>
            </w:tcMar>
            <w:vAlign w:val="center"/>
          </w:tcPr>
          <w:p w14:paraId="2D9B727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分：深度联动，互促互融；4 分：较联动，相互促进；3 分：基本联动，略有促进；2 分：联动不足，促进有限；1 分：无联动，无促进</w:t>
            </w:r>
          </w:p>
        </w:tc>
        <w:tc>
          <w:tcPr>
            <w:tcW w:w="0" w:type="auto"/>
            <w:tcBorders>
              <w:tl2br w:val="nil"/>
              <w:tr2bl w:val="nil"/>
            </w:tcBorders>
            <w:shd w:val="clear" w:color="auto" w:fill="auto"/>
            <w:tcMar>
              <w:top w:w="90" w:type="dxa"/>
              <w:left w:w="135" w:type="dxa"/>
              <w:bottom w:w="90" w:type="dxa"/>
              <w:right w:w="135" w:type="dxa"/>
            </w:tcMar>
            <w:vAlign w:val="center"/>
          </w:tcPr>
          <w:p w14:paraId="0CB1860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校企合作记录、访谈</w:t>
            </w:r>
          </w:p>
        </w:tc>
      </w:tr>
      <w:tr w14:paraId="405F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D9130F8">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7DE8D86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行业与社会协同</w:t>
            </w:r>
          </w:p>
        </w:tc>
        <w:tc>
          <w:tcPr>
            <w:tcW w:w="0" w:type="auto"/>
            <w:tcBorders>
              <w:tl2br w:val="nil"/>
              <w:tr2bl w:val="nil"/>
            </w:tcBorders>
            <w:shd w:val="clear" w:color="auto" w:fill="auto"/>
            <w:tcMar>
              <w:top w:w="90" w:type="dxa"/>
              <w:left w:w="135" w:type="dxa"/>
              <w:bottom w:w="90" w:type="dxa"/>
              <w:right w:w="135" w:type="dxa"/>
            </w:tcMar>
            <w:vAlign w:val="center"/>
          </w:tcPr>
          <w:p w14:paraId="2B7C1DA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行业思政话语与社会服务场景的延伸程度</w:t>
            </w:r>
          </w:p>
        </w:tc>
        <w:tc>
          <w:tcPr>
            <w:tcW w:w="0" w:type="auto"/>
            <w:tcBorders>
              <w:tl2br w:val="nil"/>
              <w:tr2bl w:val="nil"/>
            </w:tcBorders>
            <w:shd w:val="clear" w:color="auto" w:fill="auto"/>
            <w:tcMar>
              <w:top w:w="90" w:type="dxa"/>
              <w:left w:w="135" w:type="dxa"/>
              <w:bottom w:w="90" w:type="dxa"/>
              <w:right w:w="135" w:type="dxa"/>
            </w:tcMar>
            <w:vAlign w:val="center"/>
          </w:tcPr>
          <w:p w14:paraId="4A314A8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分：充分延伸，成效显著；4 分：较延伸，成效较好；3 分：基本延伸，成效一般；2 分：延伸不足，成效有限；1 分：无延伸，无成效</w:t>
            </w:r>
          </w:p>
        </w:tc>
        <w:tc>
          <w:tcPr>
            <w:tcW w:w="0" w:type="auto"/>
            <w:tcBorders>
              <w:tl2br w:val="nil"/>
              <w:tr2bl w:val="nil"/>
            </w:tcBorders>
            <w:shd w:val="clear" w:color="auto" w:fill="auto"/>
            <w:tcMar>
              <w:top w:w="90" w:type="dxa"/>
              <w:left w:w="135" w:type="dxa"/>
              <w:bottom w:w="90" w:type="dxa"/>
              <w:right w:w="135" w:type="dxa"/>
            </w:tcMar>
            <w:vAlign w:val="center"/>
          </w:tcPr>
          <w:p w14:paraId="250C577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社会服务记录、第三方评价</w:t>
            </w:r>
          </w:p>
        </w:tc>
      </w:tr>
      <w:tr w14:paraId="0BD5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FE33F5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氛围营造（0.3）</w:t>
            </w:r>
          </w:p>
        </w:tc>
        <w:tc>
          <w:tcPr>
            <w:tcW w:w="0" w:type="auto"/>
            <w:tcBorders>
              <w:tl2br w:val="nil"/>
              <w:tr2bl w:val="nil"/>
            </w:tcBorders>
            <w:shd w:val="clear" w:color="auto" w:fill="auto"/>
            <w:tcMar>
              <w:top w:w="90" w:type="dxa"/>
              <w:left w:w="135" w:type="dxa"/>
              <w:bottom w:w="90" w:type="dxa"/>
              <w:right w:w="135" w:type="dxa"/>
            </w:tcMar>
            <w:vAlign w:val="center"/>
          </w:tcPr>
          <w:p w14:paraId="1401983B">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课堂氛围</w:t>
            </w:r>
          </w:p>
        </w:tc>
        <w:tc>
          <w:tcPr>
            <w:tcW w:w="0" w:type="auto"/>
            <w:tcBorders>
              <w:tl2br w:val="nil"/>
              <w:tr2bl w:val="nil"/>
            </w:tcBorders>
            <w:shd w:val="clear" w:color="auto" w:fill="auto"/>
            <w:tcMar>
              <w:top w:w="90" w:type="dxa"/>
              <w:left w:w="135" w:type="dxa"/>
              <w:bottom w:w="90" w:type="dxa"/>
              <w:right w:w="135" w:type="dxa"/>
            </w:tcMar>
            <w:vAlign w:val="center"/>
          </w:tcPr>
          <w:p w14:paraId="7424CEA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课堂中思政话语传递的浸润氛围</w:t>
            </w:r>
          </w:p>
        </w:tc>
        <w:tc>
          <w:tcPr>
            <w:tcW w:w="0" w:type="auto"/>
            <w:tcBorders>
              <w:tl2br w:val="nil"/>
              <w:tr2bl w:val="nil"/>
            </w:tcBorders>
            <w:shd w:val="clear" w:color="auto" w:fill="auto"/>
            <w:tcMar>
              <w:top w:w="90" w:type="dxa"/>
              <w:left w:w="135" w:type="dxa"/>
              <w:bottom w:w="90" w:type="dxa"/>
              <w:right w:w="135" w:type="dxa"/>
            </w:tcMar>
            <w:vAlign w:val="center"/>
          </w:tcPr>
          <w:p w14:paraId="45B0ECA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分：氛围浓厚，沉浸感强；4 分：氛围较浓，有沉浸感；3 分：氛围一般，略有沉浸感；2 分：氛围淡薄，无沉浸感；1 分：无氛围</w:t>
            </w:r>
          </w:p>
        </w:tc>
        <w:tc>
          <w:tcPr>
            <w:tcW w:w="0" w:type="auto"/>
            <w:tcBorders>
              <w:tl2br w:val="nil"/>
              <w:tr2bl w:val="nil"/>
            </w:tcBorders>
            <w:shd w:val="clear" w:color="auto" w:fill="auto"/>
            <w:tcMar>
              <w:top w:w="90" w:type="dxa"/>
              <w:left w:w="135" w:type="dxa"/>
              <w:bottom w:w="90" w:type="dxa"/>
              <w:right w:w="135" w:type="dxa"/>
            </w:tcMar>
            <w:vAlign w:val="center"/>
          </w:tcPr>
          <w:p w14:paraId="0CFF91A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课堂观察、学生问卷</w:t>
            </w:r>
          </w:p>
        </w:tc>
      </w:tr>
      <w:tr w14:paraId="150B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1301D828">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4719323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校园氛围</w:t>
            </w:r>
          </w:p>
        </w:tc>
        <w:tc>
          <w:tcPr>
            <w:tcW w:w="0" w:type="auto"/>
            <w:tcBorders>
              <w:tl2br w:val="nil"/>
              <w:tr2bl w:val="nil"/>
            </w:tcBorders>
            <w:shd w:val="clear" w:color="auto" w:fill="auto"/>
            <w:tcMar>
              <w:top w:w="90" w:type="dxa"/>
              <w:left w:w="135" w:type="dxa"/>
              <w:bottom w:w="90" w:type="dxa"/>
              <w:right w:w="135" w:type="dxa"/>
            </w:tcMar>
            <w:vAlign w:val="center"/>
          </w:tcPr>
          <w:p w14:paraId="53C9EC0D">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校园物质、精神文化传递思政话语的效果</w:t>
            </w:r>
          </w:p>
        </w:tc>
        <w:tc>
          <w:tcPr>
            <w:tcW w:w="0" w:type="auto"/>
            <w:tcBorders>
              <w:tl2br w:val="nil"/>
              <w:tr2bl w:val="nil"/>
            </w:tcBorders>
            <w:shd w:val="clear" w:color="auto" w:fill="auto"/>
            <w:tcMar>
              <w:top w:w="90" w:type="dxa"/>
              <w:left w:w="135" w:type="dxa"/>
              <w:bottom w:w="90" w:type="dxa"/>
              <w:right w:w="135" w:type="dxa"/>
            </w:tcMar>
            <w:vAlign w:val="center"/>
          </w:tcPr>
          <w:p w14:paraId="62ED06E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分：氛围浓厚，潜移默化；4 分：氛围较浓，有潜移默化效果；3 分：氛围一般，效果一般；2 分：氛围淡薄，效果有限；1 分：无氛围，无效果</w:t>
            </w:r>
          </w:p>
        </w:tc>
        <w:tc>
          <w:tcPr>
            <w:tcW w:w="0" w:type="auto"/>
            <w:tcBorders>
              <w:tl2br w:val="nil"/>
              <w:tr2bl w:val="nil"/>
            </w:tcBorders>
            <w:shd w:val="clear" w:color="auto" w:fill="auto"/>
            <w:tcMar>
              <w:top w:w="90" w:type="dxa"/>
              <w:left w:w="135" w:type="dxa"/>
              <w:bottom w:w="90" w:type="dxa"/>
              <w:right w:w="135" w:type="dxa"/>
            </w:tcMar>
            <w:vAlign w:val="center"/>
          </w:tcPr>
          <w:p w14:paraId="0A3AB46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校园环境考察、访谈</w:t>
            </w:r>
          </w:p>
        </w:tc>
      </w:tr>
      <w:tr w14:paraId="2ABB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448056DF">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49EA18B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行业氛围</w:t>
            </w:r>
          </w:p>
        </w:tc>
        <w:tc>
          <w:tcPr>
            <w:tcW w:w="0" w:type="auto"/>
            <w:tcBorders>
              <w:tl2br w:val="nil"/>
              <w:tr2bl w:val="nil"/>
            </w:tcBorders>
            <w:shd w:val="clear" w:color="auto" w:fill="auto"/>
            <w:tcMar>
              <w:top w:w="90" w:type="dxa"/>
              <w:left w:w="135" w:type="dxa"/>
              <w:bottom w:w="90" w:type="dxa"/>
              <w:right w:w="135" w:type="dxa"/>
            </w:tcMar>
            <w:vAlign w:val="center"/>
          </w:tcPr>
          <w:p w14:paraId="6F9E502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企业实践基地传递思政话语的氛围</w:t>
            </w:r>
          </w:p>
        </w:tc>
        <w:tc>
          <w:tcPr>
            <w:tcW w:w="0" w:type="auto"/>
            <w:tcBorders>
              <w:tl2br w:val="nil"/>
              <w:tr2bl w:val="nil"/>
            </w:tcBorders>
            <w:shd w:val="clear" w:color="auto" w:fill="auto"/>
            <w:tcMar>
              <w:top w:w="90" w:type="dxa"/>
              <w:left w:w="135" w:type="dxa"/>
              <w:bottom w:w="90" w:type="dxa"/>
              <w:right w:w="135" w:type="dxa"/>
            </w:tcMar>
            <w:vAlign w:val="center"/>
          </w:tcPr>
          <w:p w14:paraId="0749C39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分：氛围浓厚，导向鲜明；4 分：氛围较浓，导向明确；3 分：氛围一般，导向基本正确；2 分：氛围淡薄，导向模糊；1 分：无氛围，无导向</w:t>
            </w:r>
          </w:p>
        </w:tc>
        <w:tc>
          <w:tcPr>
            <w:tcW w:w="0" w:type="auto"/>
            <w:tcBorders>
              <w:tl2br w:val="nil"/>
              <w:tr2bl w:val="nil"/>
            </w:tcBorders>
            <w:shd w:val="clear" w:color="auto" w:fill="auto"/>
            <w:tcMar>
              <w:top w:w="90" w:type="dxa"/>
              <w:left w:w="135" w:type="dxa"/>
              <w:bottom w:w="90" w:type="dxa"/>
              <w:right w:w="135" w:type="dxa"/>
            </w:tcMar>
            <w:vAlign w:val="center"/>
          </w:tcPr>
          <w:p w14:paraId="7BCE535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企业实地考察、行业导师评价</w:t>
            </w:r>
          </w:p>
        </w:tc>
      </w:tr>
      <w:tr w14:paraId="3841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1E29EE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资源整合（0.3）</w:t>
            </w:r>
          </w:p>
        </w:tc>
        <w:tc>
          <w:tcPr>
            <w:tcW w:w="0" w:type="auto"/>
            <w:tcBorders>
              <w:tl2br w:val="nil"/>
              <w:tr2bl w:val="nil"/>
            </w:tcBorders>
            <w:shd w:val="clear" w:color="auto" w:fill="auto"/>
            <w:tcMar>
              <w:top w:w="90" w:type="dxa"/>
              <w:left w:w="135" w:type="dxa"/>
              <w:bottom w:w="90" w:type="dxa"/>
              <w:right w:w="135" w:type="dxa"/>
            </w:tcMar>
            <w:vAlign w:val="center"/>
          </w:tcPr>
          <w:p w14:paraId="401F6FE6">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校内资源整合</w:t>
            </w:r>
          </w:p>
        </w:tc>
        <w:tc>
          <w:tcPr>
            <w:tcW w:w="0" w:type="auto"/>
            <w:tcBorders>
              <w:tl2br w:val="nil"/>
              <w:tr2bl w:val="nil"/>
            </w:tcBorders>
            <w:shd w:val="clear" w:color="auto" w:fill="auto"/>
            <w:tcMar>
              <w:top w:w="90" w:type="dxa"/>
              <w:left w:w="135" w:type="dxa"/>
              <w:bottom w:w="90" w:type="dxa"/>
              <w:right w:w="135" w:type="dxa"/>
            </w:tcMar>
            <w:vAlign w:val="center"/>
          </w:tcPr>
          <w:p w14:paraId="4FD69F6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学校内部思政资源的统筹利用程度</w:t>
            </w:r>
          </w:p>
        </w:tc>
        <w:tc>
          <w:tcPr>
            <w:tcW w:w="0" w:type="auto"/>
            <w:tcBorders>
              <w:tl2br w:val="nil"/>
              <w:tr2bl w:val="nil"/>
            </w:tcBorders>
            <w:shd w:val="clear" w:color="auto" w:fill="auto"/>
            <w:tcMar>
              <w:top w:w="90" w:type="dxa"/>
              <w:left w:w="135" w:type="dxa"/>
              <w:bottom w:w="90" w:type="dxa"/>
              <w:right w:w="135" w:type="dxa"/>
            </w:tcMar>
            <w:vAlign w:val="center"/>
          </w:tcPr>
          <w:p w14:paraId="4F8BB44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分：高度整合，高效利用；4 分：较整合，较好利用；3 分：基本整合，基本利用；2 分：整合不足，利用有限；1 分：无整合，无利用</w:t>
            </w:r>
          </w:p>
        </w:tc>
        <w:tc>
          <w:tcPr>
            <w:tcW w:w="0" w:type="auto"/>
            <w:tcBorders>
              <w:tl2br w:val="nil"/>
              <w:tr2bl w:val="nil"/>
            </w:tcBorders>
            <w:shd w:val="clear" w:color="auto" w:fill="auto"/>
            <w:tcMar>
              <w:top w:w="90" w:type="dxa"/>
              <w:left w:w="135" w:type="dxa"/>
              <w:bottom w:w="90" w:type="dxa"/>
              <w:right w:w="135" w:type="dxa"/>
            </w:tcMar>
            <w:vAlign w:val="center"/>
          </w:tcPr>
          <w:p w14:paraId="4988E4B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资源管理记录、专家评审</w:t>
            </w:r>
          </w:p>
        </w:tc>
      </w:tr>
      <w:tr w14:paraId="59CB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7B35926E">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72FF454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校外资源整合</w:t>
            </w:r>
          </w:p>
        </w:tc>
        <w:tc>
          <w:tcPr>
            <w:tcW w:w="0" w:type="auto"/>
            <w:tcBorders>
              <w:tl2br w:val="nil"/>
              <w:tr2bl w:val="nil"/>
            </w:tcBorders>
            <w:shd w:val="clear" w:color="auto" w:fill="auto"/>
            <w:tcMar>
              <w:top w:w="90" w:type="dxa"/>
              <w:left w:w="135" w:type="dxa"/>
              <w:bottom w:w="90" w:type="dxa"/>
              <w:right w:w="135" w:type="dxa"/>
            </w:tcMar>
            <w:vAlign w:val="center"/>
          </w:tcPr>
          <w:p w14:paraId="3C05DF7C">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校外思政资源（企业、地方、文化）的引入程度</w:t>
            </w:r>
          </w:p>
        </w:tc>
        <w:tc>
          <w:tcPr>
            <w:tcW w:w="0" w:type="auto"/>
            <w:tcBorders>
              <w:tl2br w:val="nil"/>
              <w:tr2bl w:val="nil"/>
            </w:tcBorders>
            <w:shd w:val="clear" w:color="auto" w:fill="auto"/>
            <w:tcMar>
              <w:top w:w="90" w:type="dxa"/>
              <w:left w:w="135" w:type="dxa"/>
              <w:bottom w:w="90" w:type="dxa"/>
              <w:right w:w="135" w:type="dxa"/>
            </w:tcMar>
            <w:vAlign w:val="center"/>
          </w:tcPr>
          <w:p w14:paraId="4798BE4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分：充分引入，深度利用；4 分：较引入，较好利用；3 分：基本引入，基本利用；2 分：引入不足，利用有限；1 分：无引入，无利用</w:t>
            </w:r>
          </w:p>
        </w:tc>
        <w:tc>
          <w:tcPr>
            <w:tcW w:w="0" w:type="auto"/>
            <w:tcBorders>
              <w:tl2br w:val="nil"/>
              <w:tr2bl w:val="nil"/>
            </w:tcBorders>
            <w:shd w:val="clear" w:color="auto" w:fill="auto"/>
            <w:tcMar>
              <w:top w:w="90" w:type="dxa"/>
              <w:left w:w="135" w:type="dxa"/>
              <w:bottom w:w="90" w:type="dxa"/>
              <w:right w:w="135" w:type="dxa"/>
            </w:tcMar>
            <w:vAlign w:val="center"/>
          </w:tcPr>
          <w:p w14:paraId="532EB12D">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校外合作协议、资源使用记录</w:t>
            </w:r>
          </w:p>
        </w:tc>
      </w:tr>
    </w:tbl>
    <w:p w14:paraId="3048E93F">
      <w:pPr>
        <w:rPr>
          <w:rFonts w:hint="eastAsia"/>
        </w:rPr>
      </w:pPr>
      <w:r>
        <w:rPr>
          <w:rFonts w:hint="eastAsia"/>
        </w:rPr>
        <w:t>一级指标 5：话语育人成效（权重 0.15）</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099"/>
        <w:gridCol w:w="749"/>
        <w:gridCol w:w="1475"/>
        <w:gridCol w:w="4176"/>
        <w:gridCol w:w="1077"/>
      </w:tblGrid>
      <w:tr w14:paraId="3B62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Header/>
        </w:trPr>
        <w:tc>
          <w:tcPr>
            <w:tcW w:w="0" w:type="auto"/>
            <w:tcBorders>
              <w:tl2br w:val="nil"/>
              <w:tr2bl w:val="nil"/>
            </w:tcBorders>
            <w:shd w:val="clear" w:color="auto" w:fill="F2F2F2"/>
            <w:tcMar>
              <w:top w:w="90" w:type="dxa"/>
              <w:left w:w="135" w:type="dxa"/>
              <w:bottom w:w="90" w:type="dxa"/>
              <w:right w:w="135" w:type="dxa"/>
            </w:tcMar>
            <w:vAlign w:val="center"/>
          </w:tcPr>
          <w:p w14:paraId="7B875D17">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二级指标</w:t>
            </w:r>
          </w:p>
        </w:tc>
        <w:tc>
          <w:tcPr>
            <w:tcW w:w="0" w:type="auto"/>
            <w:tcBorders>
              <w:tl2br w:val="nil"/>
              <w:tr2bl w:val="nil"/>
            </w:tcBorders>
            <w:shd w:val="clear" w:color="auto" w:fill="F2F2F2"/>
            <w:tcMar>
              <w:top w:w="90" w:type="dxa"/>
              <w:left w:w="135" w:type="dxa"/>
              <w:bottom w:w="90" w:type="dxa"/>
              <w:right w:w="135" w:type="dxa"/>
            </w:tcMar>
            <w:vAlign w:val="center"/>
          </w:tcPr>
          <w:p w14:paraId="1C9E7E92">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三级指标</w:t>
            </w:r>
          </w:p>
        </w:tc>
        <w:tc>
          <w:tcPr>
            <w:tcW w:w="0" w:type="auto"/>
            <w:tcBorders>
              <w:tl2br w:val="nil"/>
              <w:tr2bl w:val="nil"/>
            </w:tcBorders>
            <w:shd w:val="clear" w:color="auto" w:fill="F2F2F2"/>
            <w:tcMar>
              <w:top w:w="90" w:type="dxa"/>
              <w:left w:w="135" w:type="dxa"/>
              <w:bottom w:w="90" w:type="dxa"/>
              <w:right w:w="135" w:type="dxa"/>
            </w:tcMar>
            <w:vAlign w:val="center"/>
          </w:tcPr>
          <w:p w14:paraId="3CE8F91D">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指标定义</w:t>
            </w:r>
          </w:p>
        </w:tc>
        <w:tc>
          <w:tcPr>
            <w:tcW w:w="0" w:type="auto"/>
            <w:tcBorders>
              <w:tl2br w:val="nil"/>
              <w:tr2bl w:val="nil"/>
            </w:tcBorders>
            <w:shd w:val="clear" w:color="auto" w:fill="F2F2F2"/>
            <w:tcMar>
              <w:top w:w="90" w:type="dxa"/>
              <w:left w:w="135" w:type="dxa"/>
              <w:bottom w:w="90" w:type="dxa"/>
              <w:right w:w="135" w:type="dxa"/>
            </w:tcMar>
            <w:vAlign w:val="center"/>
          </w:tcPr>
          <w:p w14:paraId="5EBB61A7">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评分标准（1-5 分）</w:t>
            </w:r>
          </w:p>
        </w:tc>
        <w:tc>
          <w:tcPr>
            <w:tcW w:w="0" w:type="auto"/>
            <w:tcBorders>
              <w:tl2br w:val="nil"/>
              <w:tr2bl w:val="nil"/>
            </w:tcBorders>
            <w:shd w:val="clear" w:color="auto" w:fill="F2F2F2"/>
            <w:tcMar>
              <w:top w:w="90" w:type="dxa"/>
              <w:left w:w="135" w:type="dxa"/>
              <w:bottom w:w="90" w:type="dxa"/>
              <w:right w:w="135" w:type="dxa"/>
            </w:tcMar>
            <w:vAlign w:val="center"/>
          </w:tcPr>
          <w:p w14:paraId="39F9FEAB">
            <w:pPr>
              <w:keepNext w:val="0"/>
              <w:keepLines w:val="0"/>
              <w:widowControl/>
              <w:suppressLineNumbers w:val="0"/>
              <w:spacing w:before="0" w:beforeAutospacing="0" w:after="0" w:afterAutospacing="0" w:line="210" w:lineRule="atLeast"/>
              <w:ind w:left="0" w:right="0" w:firstLine="0"/>
              <w:jc w:val="center"/>
              <w:rPr>
                <w:b/>
                <w:bCs/>
                <w:color w:val="000000"/>
                <w:sz w:val="18"/>
                <w:szCs w:val="18"/>
              </w:rPr>
            </w:pPr>
            <w:r>
              <w:rPr>
                <w:rFonts w:ascii="宋体" w:hAnsi="宋体" w:eastAsia="宋体" w:cs="宋体"/>
                <w:b/>
                <w:bCs/>
                <w:color w:val="000000"/>
                <w:kern w:val="0"/>
                <w:sz w:val="18"/>
                <w:szCs w:val="18"/>
                <w:lang w:val="en-US" w:eastAsia="zh-CN" w:bidi="ar"/>
              </w:rPr>
              <w:t>数据收集方法</w:t>
            </w:r>
          </w:p>
        </w:tc>
      </w:tr>
      <w:tr w14:paraId="4397D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A991C48">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认知成效（0.3）</w:t>
            </w:r>
          </w:p>
        </w:tc>
        <w:tc>
          <w:tcPr>
            <w:tcW w:w="0" w:type="auto"/>
            <w:tcBorders>
              <w:tl2br w:val="nil"/>
              <w:tr2bl w:val="nil"/>
            </w:tcBorders>
            <w:shd w:val="clear" w:color="auto" w:fill="auto"/>
            <w:tcMar>
              <w:top w:w="90" w:type="dxa"/>
              <w:left w:w="135" w:type="dxa"/>
              <w:bottom w:w="90" w:type="dxa"/>
              <w:right w:w="135" w:type="dxa"/>
            </w:tcMar>
            <w:vAlign w:val="center"/>
          </w:tcPr>
          <w:p w14:paraId="55FD031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价值认同度</w:t>
            </w:r>
          </w:p>
        </w:tc>
        <w:tc>
          <w:tcPr>
            <w:tcW w:w="0" w:type="auto"/>
            <w:tcBorders>
              <w:tl2br w:val="nil"/>
              <w:tr2bl w:val="nil"/>
            </w:tcBorders>
            <w:shd w:val="clear" w:color="auto" w:fill="auto"/>
            <w:tcMar>
              <w:top w:w="90" w:type="dxa"/>
              <w:left w:w="135" w:type="dxa"/>
              <w:bottom w:w="90" w:type="dxa"/>
              <w:right w:w="135" w:type="dxa"/>
            </w:tcMar>
            <w:vAlign w:val="center"/>
          </w:tcPr>
          <w:p w14:paraId="48490A4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学生对思政话语核心价值的认可程度</w:t>
            </w:r>
          </w:p>
        </w:tc>
        <w:tc>
          <w:tcPr>
            <w:tcW w:w="0" w:type="auto"/>
            <w:tcBorders>
              <w:tl2br w:val="nil"/>
              <w:tr2bl w:val="nil"/>
            </w:tcBorders>
            <w:shd w:val="clear" w:color="auto" w:fill="auto"/>
            <w:tcMar>
              <w:top w:w="90" w:type="dxa"/>
              <w:left w:w="135" w:type="dxa"/>
              <w:bottom w:w="90" w:type="dxa"/>
              <w:right w:w="135" w:type="dxa"/>
            </w:tcMar>
            <w:vAlign w:val="center"/>
          </w:tcPr>
          <w:p w14:paraId="7FBB2BDD">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分：高度认同，内化于心；4 分：较认同，基本内化；3 分：基本认同，部分内化；2 分：认同度低，未内化；1 分：不认同，抵触</w:t>
            </w:r>
          </w:p>
        </w:tc>
        <w:tc>
          <w:tcPr>
            <w:tcW w:w="0" w:type="auto"/>
            <w:tcBorders>
              <w:tl2br w:val="nil"/>
              <w:tr2bl w:val="nil"/>
            </w:tcBorders>
            <w:shd w:val="clear" w:color="auto" w:fill="auto"/>
            <w:tcMar>
              <w:top w:w="90" w:type="dxa"/>
              <w:left w:w="135" w:type="dxa"/>
              <w:bottom w:w="90" w:type="dxa"/>
              <w:right w:w="135" w:type="dxa"/>
            </w:tcMar>
            <w:vAlign w:val="center"/>
          </w:tcPr>
          <w:p w14:paraId="74C7CDE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学生问卷、焦点小组访谈</w:t>
            </w:r>
          </w:p>
        </w:tc>
      </w:tr>
      <w:tr w14:paraId="31AC3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3C00A3D2">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73E527C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思政内涵理解</w:t>
            </w:r>
          </w:p>
        </w:tc>
        <w:tc>
          <w:tcPr>
            <w:tcW w:w="0" w:type="auto"/>
            <w:tcBorders>
              <w:tl2br w:val="nil"/>
              <w:tr2bl w:val="nil"/>
            </w:tcBorders>
            <w:shd w:val="clear" w:color="auto" w:fill="auto"/>
            <w:tcMar>
              <w:top w:w="90" w:type="dxa"/>
              <w:left w:w="135" w:type="dxa"/>
              <w:bottom w:w="90" w:type="dxa"/>
              <w:right w:w="135" w:type="dxa"/>
            </w:tcMar>
            <w:vAlign w:val="center"/>
          </w:tcPr>
          <w:p w14:paraId="24E5812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学生对思政话语深层内涵的把握程度</w:t>
            </w:r>
          </w:p>
        </w:tc>
        <w:tc>
          <w:tcPr>
            <w:tcW w:w="0" w:type="auto"/>
            <w:tcBorders>
              <w:tl2br w:val="nil"/>
              <w:tr2bl w:val="nil"/>
            </w:tcBorders>
            <w:shd w:val="clear" w:color="auto" w:fill="auto"/>
            <w:tcMar>
              <w:top w:w="90" w:type="dxa"/>
              <w:left w:w="135" w:type="dxa"/>
              <w:bottom w:w="90" w:type="dxa"/>
              <w:right w:w="135" w:type="dxa"/>
            </w:tcMar>
            <w:vAlign w:val="center"/>
          </w:tcPr>
          <w:p w14:paraId="0A2E4E6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分：深刻理解，准确阐释；4 分：较理解，基本阐释；3 分：基本理解，部分阐释；2 分：理解模糊，难以阐释；1 分：不理解，无法阐释</w:t>
            </w:r>
          </w:p>
        </w:tc>
        <w:tc>
          <w:tcPr>
            <w:tcW w:w="0" w:type="auto"/>
            <w:tcBorders>
              <w:tl2br w:val="nil"/>
              <w:tr2bl w:val="nil"/>
            </w:tcBorders>
            <w:shd w:val="clear" w:color="auto" w:fill="auto"/>
            <w:tcMar>
              <w:top w:w="90" w:type="dxa"/>
              <w:left w:w="135" w:type="dxa"/>
              <w:bottom w:w="90" w:type="dxa"/>
              <w:right w:w="135" w:type="dxa"/>
            </w:tcMar>
            <w:vAlign w:val="center"/>
          </w:tcPr>
          <w:p w14:paraId="1EA3680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知识测试、访谈</w:t>
            </w:r>
          </w:p>
        </w:tc>
      </w:tr>
      <w:tr w14:paraId="2F50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066D353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情感成效（0.3）</w:t>
            </w:r>
          </w:p>
        </w:tc>
        <w:tc>
          <w:tcPr>
            <w:tcW w:w="0" w:type="auto"/>
            <w:tcBorders>
              <w:tl2br w:val="nil"/>
              <w:tr2bl w:val="nil"/>
            </w:tcBorders>
            <w:shd w:val="clear" w:color="auto" w:fill="auto"/>
            <w:tcMar>
              <w:top w:w="90" w:type="dxa"/>
              <w:left w:w="135" w:type="dxa"/>
              <w:bottom w:w="90" w:type="dxa"/>
              <w:right w:w="135" w:type="dxa"/>
            </w:tcMar>
            <w:vAlign w:val="center"/>
          </w:tcPr>
          <w:p w14:paraId="34761867">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文化自信提升</w:t>
            </w:r>
          </w:p>
        </w:tc>
        <w:tc>
          <w:tcPr>
            <w:tcW w:w="0" w:type="auto"/>
            <w:tcBorders>
              <w:tl2br w:val="nil"/>
              <w:tr2bl w:val="nil"/>
            </w:tcBorders>
            <w:shd w:val="clear" w:color="auto" w:fill="auto"/>
            <w:tcMar>
              <w:top w:w="90" w:type="dxa"/>
              <w:left w:w="135" w:type="dxa"/>
              <w:bottom w:w="90" w:type="dxa"/>
              <w:right w:w="135" w:type="dxa"/>
            </w:tcMar>
            <w:vAlign w:val="center"/>
          </w:tcPr>
          <w:p w14:paraId="07F08A5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学生文化认同、民族自豪感的增强程度</w:t>
            </w:r>
          </w:p>
        </w:tc>
        <w:tc>
          <w:tcPr>
            <w:tcW w:w="0" w:type="auto"/>
            <w:tcBorders>
              <w:tl2br w:val="nil"/>
              <w:tr2bl w:val="nil"/>
            </w:tcBorders>
            <w:shd w:val="clear" w:color="auto" w:fill="auto"/>
            <w:tcMar>
              <w:top w:w="90" w:type="dxa"/>
              <w:left w:w="135" w:type="dxa"/>
              <w:bottom w:w="90" w:type="dxa"/>
              <w:right w:w="135" w:type="dxa"/>
            </w:tcMar>
            <w:vAlign w:val="center"/>
          </w:tcPr>
          <w:p w14:paraId="5508EDF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分：显著提升，自豪感强；4 分：较提升，有自豪感；3 分：基本提升，自豪感一般；2 分：提升不足，自豪感弱；1 分：无提升，无自豪感</w:t>
            </w:r>
          </w:p>
        </w:tc>
        <w:tc>
          <w:tcPr>
            <w:tcW w:w="0" w:type="auto"/>
            <w:tcBorders>
              <w:tl2br w:val="nil"/>
              <w:tr2bl w:val="nil"/>
            </w:tcBorders>
            <w:shd w:val="clear" w:color="auto" w:fill="auto"/>
            <w:tcMar>
              <w:top w:w="90" w:type="dxa"/>
              <w:left w:w="135" w:type="dxa"/>
              <w:bottom w:w="90" w:type="dxa"/>
              <w:right w:w="135" w:type="dxa"/>
            </w:tcMar>
            <w:vAlign w:val="center"/>
          </w:tcPr>
          <w:p w14:paraId="5FC7563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学生问卷、主题征文</w:t>
            </w:r>
          </w:p>
        </w:tc>
      </w:tr>
      <w:tr w14:paraId="647B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55C5B664">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2608F712">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职业认同感增强</w:t>
            </w:r>
          </w:p>
        </w:tc>
        <w:tc>
          <w:tcPr>
            <w:tcW w:w="0" w:type="auto"/>
            <w:tcBorders>
              <w:tl2br w:val="nil"/>
              <w:tr2bl w:val="nil"/>
            </w:tcBorders>
            <w:shd w:val="clear" w:color="auto" w:fill="auto"/>
            <w:tcMar>
              <w:top w:w="90" w:type="dxa"/>
              <w:left w:w="135" w:type="dxa"/>
              <w:bottom w:w="90" w:type="dxa"/>
              <w:right w:w="135" w:type="dxa"/>
            </w:tcMar>
            <w:vAlign w:val="center"/>
          </w:tcPr>
          <w:p w14:paraId="18E239B9">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学生对所学专业及职业伦理的认同程度</w:t>
            </w:r>
          </w:p>
        </w:tc>
        <w:tc>
          <w:tcPr>
            <w:tcW w:w="0" w:type="auto"/>
            <w:tcBorders>
              <w:tl2br w:val="nil"/>
              <w:tr2bl w:val="nil"/>
            </w:tcBorders>
            <w:shd w:val="clear" w:color="auto" w:fill="auto"/>
            <w:tcMar>
              <w:top w:w="90" w:type="dxa"/>
              <w:left w:w="135" w:type="dxa"/>
              <w:bottom w:w="90" w:type="dxa"/>
              <w:right w:w="135" w:type="dxa"/>
            </w:tcMar>
            <w:vAlign w:val="center"/>
          </w:tcPr>
          <w:p w14:paraId="45C7D0BF">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分：高度认同，职业规划清晰；4 分：较认同，职业规划较清晰；3 分：基本认同，职业规划一般；2 分：认同度低，职业规划模糊；1 分：不认同，无职业规划</w:t>
            </w:r>
          </w:p>
        </w:tc>
        <w:tc>
          <w:tcPr>
            <w:tcW w:w="0" w:type="auto"/>
            <w:tcBorders>
              <w:tl2br w:val="nil"/>
              <w:tr2bl w:val="nil"/>
            </w:tcBorders>
            <w:shd w:val="clear" w:color="auto" w:fill="auto"/>
            <w:tcMar>
              <w:top w:w="90" w:type="dxa"/>
              <w:left w:w="135" w:type="dxa"/>
              <w:bottom w:w="90" w:type="dxa"/>
              <w:right w:w="135" w:type="dxa"/>
            </w:tcMar>
            <w:vAlign w:val="center"/>
          </w:tcPr>
          <w:p w14:paraId="3B31FA03">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学生问卷、就业指导记录</w:t>
            </w:r>
          </w:p>
        </w:tc>
      </w:tr>
      <w:tr w14:paraId="370E5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70C57D1E">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行为成效（0.4）</w:t>
            </w:r>
          </w:p>
        </w:tc>
        <w:tc>
          <w:tcPr>
            <w:tcW w:w="0" w:type="auto"/>
            <w:tcBorders>
              <w:tl2br w:val="nil"/>
              <w:tr2bl w:val="nil"/>
            </w:tcBorders>
            <w:shd w:val="clear" w:color="auto" w:fill="auto"/>
            <w:tcMar>
              <w:top w:w="90" w:type="dxa"/>
              <w:left w:w="135" w:type="dxa"/>
              <w:bottom w:w="90" w:type="dxa"/>
              <w:right w:w="135" w:type="dxa"/>
            </w:tcMar>
            <w:vAlign w:val="center"/>
          </w:tcPr>
          <w:p w14:paraId="6C1800EA">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职业行为规范</w:t>
            </w:r>
          </w:p>
        </w:tc>
        <w:tc>
          <w:tcPr>
            <w:tcW w:w="0" w:type="auto"/>
            <w:tcBorders>
              <w:tl2br w:val="nil"/>
              <w:tr2bl w:val="nil"/>
            </w:tcBorders>
            <w:shd w:val="clear" w:color="auto" w:fill="auto"/>
            <w:tcMar>
              <w:top w:w="90" w:type="dxa"/>
              <w:left w:w="135" w:type="dxa"/>
              <w:bottom w:w="90" w:type="dxa"/>
              <w:right w:w="135" w:type="dxa"/>
            </w:tcMar>
            <w:vAlign w:val="center"/>
          </w:tcPr>
          <w:p w14:paraId="5892FF2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学生在实践中践行职业伦理的程度</w:t>
            </w:r>
          </w:p>
        </w:tc>
        <w:tc>
          <w:tcPr>
            <w:tcW w:w="0" w:type="auto"/>
            <w:tcBorders>
              <w:tl2br w:val="nil"/>
              <w:tr2bl w:val="nil"/>
            </w:tcBorders>
            <w:shd w:val="clear" w:color="auto" w:fill="auto"/>
            <w:tcMar>
              <w:top w:w="90" w:type="dxa"/>
              <w:left w:w="135" w:type="dxa"/>
              <w:bottom w:w="90" w:type="dxa"/>
              <w:right w:w="135" w:type="dxa"/>
            </w:tcMar>
            <w:vAlign w:val="center"/>
          </w:tcPr>
          <w:p w14:paraId="7ADB5A91">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分：严格践行，行为规范；4 分：较践行，行为较规范；3 分：基本践行，行为基本规范；2 分：践行不足，行为偶尔失范；1 分：不践行，行为频繁失范</w:t>
            </w:r>
          </w:p>
        </w:tc>
        <w:tc>
          <w:tcPr>
            <w:tcW w:w="0" w:type="auto"/>
            <w:tcBorders>
              <w:tl2br w:val="nil"/>
              <w:tr2bl w:val="nil"/>
            </w:tcBorders>
            <w:shd w:val="clear" w:color="auto" w:fill="auto"/>
            <w:tcMar>
              <w:top w:w="90" w:type="dxa"/>
              <w:left w:w="135" w:type="dxa"/>
              <w:bottom w:w="90" w:type="dxa"/>
              <w:right w:w="135" w:type="dxa"/>
            </w:tcMar>
            <w:vAlign w:val="center"/>
          </w:tcPr>
          <w:p w14:paraId="7D5D52C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实践考核、企业反馈</w:t>
            </w:r>
          </w:p>
        </w:tc>
      </w:tr>
      <w:tr w14:paraId="5299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90" w:type="dxa"/>
              <w:left w:w="135" w:type="dxa"/>
              <w:bottom w:w="90" w:type="dxa"/>
              <w:right w:w="135" w:type="dxa"/>
            </w:tcMar>
            <w:vAlign w:val="center"/>
          </w:tcPr>
          <w:p w14:paraId="376FBBCF">
            <w:pPr>
              <w:jc w:val="left"/>
              <w:rPr>
                <w:rFonts w:hint="eastAsia" w:ascii="宋体"/>
                <w:sz w:val="18"/>
                <w:szCs w:val="18"/>
              </w:rPr>
            </w:pPr>
          </w:p>
        </w:tc>
        <w:tc>
          <w:tcPr>
            <w:tcW w:w="0" w:type="auto"/>
            <w:tcBorders>
              <w:tl2br w:val="nil"/>
              <w:tr2bl w:val="nil"/>
            </w:tcBorders>
            <w:shd w:val="clear" w:color="auto" w:fill="auto"/>
            <w:tcMar>
              <w:top w:w="90" w:type="dxa"/>
              <w:left w:w="135" w:type="dxa"/>
              <w:bottom w:w="90" w:type="dxa"/>
              <w:right w:w="135" w:type="dxa"/>
            </w:tcMar>
            <w:vAlign w:val="center"/>
          </w:tcPr>
          <w:p w14:paraId="18F44E1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社会责任感践行</w:t>
            </w:r>
          </w:p>
        </w:tc>
        <w:tc>
          <w:tcPr>
            <w:tcW w:w="0" w:type="auto"/>
            <w:tcBorders>
              <w:tl2br w:val="nil"/>
              <w:tr2bl w:val="nil"/>
            </w:tcBorders>
            <w:shd w:val="clear" w:color="auto" w:fill="auto"/>
            <w:tcMar>
              <w:top w:w="90" w:type="dxa"/>
              <w:left w:w="135" w:type="dxa"/>
              <w:bottom w:w="90" w:type="dxa"/>
              <w:right w:w="135" w:type="dxa"/>
            </w:tcMar>
            <w:vAlign w:val="center"/>
          </w:tcPr>
          <w:p w14:paraId="021CBED0">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学生参与志愿服务、社会责任活动的积极性</w:t>
            </w:r>
          </w:p>
        </w:tc>
        <w:tc>
          <w:tcPr>
            <w:tcW w:w="0" w:type="auto"/>
            <w:tcBorders>
              <w:tl2br w:val="nil"/>
              <w:tr2bl w:val="nil"/>
            </w:tcBorders>
            <w:shd w:val="clear" w:color="auto" w:fill="auto"/>
            <w:tcMar>
              <w:top w:w="90" w:type="dxa"/>
              <w:left w:w="135" w:type="dxa"/>
              <w:bottom w:w="90" w:type="dxa"/>
              <w:right w:w="135" w:type="dxa"/>
            </w:tcMar>
            <w:vAlign w:val="center"/>
          </w:tcPr>
          <w:p w14:paraId="5B936B54">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5 分：主动参与，成效显著；4 分：较主动参与，成效较好；3 分：偶尔参与，成效一般；2 分：被动参与，成效有限；1 分：不参与，无成效</w:t>
            </w:r>
          </w:p>
        </w:tc>
        <w:tc>
          <w:tcPr>
            <w:tcW w:w="0" w:type="auto"/>
            <w:tcBorders>
              <w:tl2br w:val="nil"/>
              <w:tr2bl w:val="nil"/>
            </w:tcBorders>
            <w:shd w:val="clear" w:color="auto" w:fill="auto"/>
            <w:tcMar>
              <w:top w:w="90" w:type="dxa"/>
              <w:left w:w="135" w:type="dxa"/>
              <w:bottom w:w="90" w:type="dxa"/>
              <w:right w:w="135" w:type="dxa"/>
            </w:tcMar>
            <w:vAlign w:val="center"/>
          </w:tcPr>
          <w:p w14:paraId="07073E05">
            <w:pPr>
              <w:keepNext w:val="0"/>
              <w:keepLines w:val="0"/>
              <w:widowControl/>
              <w:suppressLineNumbers w:val="0"/>
              <w:spacing w:before="0" w:beforeAutospacing="0" w:after="0" w:afterAutospacing="0" w:line="210" w:lineRule="atLeast"/>
              <w:ind w:left="0" w:right="0" w:firstLine="0"/>
              <w:jc w:val="left"/>
              <w:rPr>
                <w:sz w:val="18"/>
                <w:szCs w:val="18"/>
              </w:rPr>
            </w:pPr>
            <w:r>
              <w:rPr>
                <w:rFonts w:ascii="宋体" w:hAnsi="宋体" w:eastAsia="宋体" w:cs="宋体"/>
                <w:kern w:val="0"/>
                <w:sz w:val="18"/>
                <w:szCs w:val="18"/>
                <w:lang w:val="en-US" w:eastAsia="zh-CN" w:bidi="ar"/>
              </w:rPr>
              <w:t>志愿服务记录、学生自评</w:t>
            </w:r>
          </w:p>
        </w:tc>
      </w:tr>
    </w:tbl>
    <w:p w14:paraId="5ED519BA">
      <w:pPr>
        <w:rPr>
          <w:rFonts w:hint="eastAsia"/>
        </w:rPr>
      </w:pPr>
    </w:p>
    <w:p w14:paraId="275E9C3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（三）评分与等级判定</w:t>
      </w:r>
    </w:p>
    <w:p w14:paraId="31B7A74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总分计算：三级指标得分 × 对应权重→二级指标得分→一级指标得分→总分（满分 5 分）</w:t>
      </w:r>
    </w:p>
    <w:p w14:paraId="0E7759B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等级判定：优秀（4.0-5.0 分）、良好（3.0-4.0 分）、中等（2.0-3.0 分）、较差（1.0-2.0 分）、极差（0-1.0 分）</w:t>
      </w:r>
    </w:p>
    <w:p w14:paraId="55CFBFC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操作流程：成立评估小组→收集数据→分项评分→汇总计算→形成报告→提出改进建议</w:t>
      </w:r>
    </w:p>
    <w:p w14:paraId="7C16331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C82210"/>
    <w:rsid w:val="26C82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2025-12-14T03:25:00Z</dcterms:created>
  <dc:creator>cherry</dc:creator>
  <cp:lastModifiedBy>cherry</cp:lastModifiedBy>
  <dcterms:modified xsi:type="dcterms:W3CDTF">2025-12-14T03:31:09Z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751CBBC2638D43079FAA0E50BE82EB5A_11</vt:lpwstr>
  </property>
  <property fmtid="{D5CDD505-2E9C-101B-9397-08002B2CF9AE}" pid="4" name="KSOTemplateDocerSaveRecord">
    <vt:lpwstr>eyJoZGlkIjoiZmFkNThjZjJmYmJkN2UyYmJmYjVmMjc4NTdiZWFlNmEiLCJ1c2VySWQiOiI1NDYyMzczNDQifQ==</vt:lpwstr>
  </property>
</Properties>
</file>