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486A2"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应用型</w:t>
      </w:r>
      <w:r>
        <w:rPr>
          <w:rFonts w:hint="eastAsia"/>
          <w:b/>
          <w:bCs/>
          <w:sz w:val="32"/>
          <w:szCs w:val="32"/>
        </w:rPr>
        <w:t>高校课程思政话语体系建设操作手册（分类型版）</w:t>
      </w:r>
    </w:p>
    <w:bookmarkEnd w:id="0"/>
    <w:p w14:paraId="5DAFE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（一）工科应用型高校操作手册</w:t>
      </w:r>
    </w:p>
    <w:p w14:paraId="1402E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核心定位</w:t>
      </w:r>
    </w:p>
    <w:p w14:paraId="74C15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以“工程伦理 + 工匠精神 + 科技报国” 为核心，突出工程实践导向，实现思政话语与工程技术、行业需求深度融合。</w:t>
      </w:r>
    </w:p>
    <w:p w14:paraId="62202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2.关键操作要点</w:t>
      </w:r>
    </w:p>
    <w:p w14:paraId="1550D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（1）话语主体培育</w:t>
      </w:r>
    </w:p>
    <w:p w14:paraId="2F37A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推行“教师企业挂职 + 工程伦理培训” 双轨制，要求每5年累计6个月企业实践，参与至少 2 次工程伦理专题培训。</w:t>
      </w:r>
    </w:p>
    <w:p w14:paraId="5925E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组建“思政课教师 + 专业课教师 + 企业工程师” 协同团队，定期开展工程案例思政挖掘研讨会。</w:t>
      </w:r>
    </w:p>
    <w:p w14:paraId="59E4C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（2）话语内容挖掘</w:t>
      </w:r>
    </w:p>
    <w:p w14:paraId="1EECE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构建“工程知识点 — 思政元素” 对应库：如 “精度要求→工匠精神”“安全规范→责任担当”“技术创新→科技报国”。</w:t>
      </w:r>
    </w:p>
    <w:p w14:paraId="2F2D9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结合“中国制造 2025”“双碳” 目标，融入绿色制造、自主创新等时代话语。</w:t>
      </w:r>
    </w:p>
    <w:p w14:paraId="32AD8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（3）话语方式创新</w:t>
      </w:r>
    </w:p>
    <w:p w14:paraId="62C61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主推 “项目驱动 + 虚拟仿真” 模式：通过工程实训、技术攻关项目传递思政话语；利用虚拟仿真还原工程事故场景，强化安全责任话语。</w:t>
      </w:r>
    </w:p>
    <w:p w14:paraId="508E8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开展 “大国工匠进校园”“工程伦理辩论赛” 等活动，增强话语互动性。</w:t>
      </w:r>
    </w:p>
    <w:p w14:paraId="3A77B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（4）话语语境拓展</w:t>
      </w:r>
    </w:p>
    <w:p w14:paraId="0EABE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打造 “实验室 — 企业生产线 — 社会服务现场” 三级语境：实验室强调科研诚信，企业突出行业伦理，社会服务践行技术惠民。</w:t>
      </w:r>
    </w:p>
    <w:p w14:paraId="1C619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与智能制造、新能源等领域企业共建 “课程思政实践基地”，设立工程师思政讲堂。</w:t>
      </w:r>
    </w:p>
    <w:p w14:paraId="4B66C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3. 特色成效指标</w:t>
      </w:r>
    </w:p>
    <w:p w14:paraId="64AB8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工程伦理知晓率、学生安全操作规范达标率、企业对毕业生职业道德满意度、技术创新类竞赛获奖数。</w:t>
      </w:r>
    </w:p>
    <w:p w14:paraId="01658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（二）艺术类应用型高校操作手册</w:t>
      </w:r>
    </w:p>
    <w:p w14:paraId="4737D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核心定位</w:t>
      </w:r>
    </w:p>
    <w:p w14:paraId="2E534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以 “文化传承 + 审美素养 + 价值引领” 为核心，突出艺术实践特色，实现思政话语与服饰、设计等专业深度融合。</w:t>
      </w:r>
    </w:p>
    <w:p w14:paraId="39B18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关键操作要点</w:t>
      </w:r>
    </w:p>
    <w:p w14:paraId="025F9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（1）话语主体培育</w:t>
      </w:r>
    </w:p>
    <w:p w14:paraId="7D2F4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开展 “非遗技艺研修 + 文化思政培训”，组织教师参与非遗传承项目、红色文化研学。</w:t>
      </w:r>
    </w:p>
    <w:p w14:paraId="3E845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建立 “艺术名师 + 思政专家” 结对机制，指导思政话语艺术化表达。</w:t>
      </w:r>
    </w:p>
    <w:p w14:paraId="7DE48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（2）话语内容挖掘</w:t>
      </w:r>
    </w:p>
    <w:p w14:paraId="742D1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构建 “艺术知识点 — 思政元素” 对应库：如 “传统纹样→文化自信”“服饰形制→民族认同”“公益设计→社会责任”。</w:t>
      </w:r>
    </w:p>
    <w:p w14:paraId="41B72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深度挖掘中华优秀传统文化、红色服饰文化中的思政元素，融入现代设计话语。</w:t>
      </w:r>
    </w:p>
    <w:p w14:paraId="51583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（3）话语方式创新</w:t>
      </w:r>
    </w:p>
    <w:p w14:paraId="23998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主推 “作品创作 + 展览展示” 模式：通过红色主题设计、非遗创新作品传递思政话语；举办思政主题艺术展，强化视觉浸润。</w:t>
      </w:r>
    </w:p>
    <w:p w14:paraId="19032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运用数字媒体技术，开发 “虚拟服饰博物馆”“思政主题短视频”，创新话语传播形式。</w:t>
      </w:r>
    </w:p>
    <w:p w14:paraId="3AF1D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（4）话语语境拓展</w:t>
      </w:r>
    </w:p>
    <w:p w14:paraId="59050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打造 “课堂 — 校园文化 — 艺术展会 — 社会公益” 四级语境：课堂强调审美育人，校园营造文化氛围，展会传递价值理念，公益践行社会责任。</w:t>
      </w:r>
    </w:p>
    <w:p w14:paraId="11F2C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与文化场馆、非遗保护中心共建实践基地，开展服饰文化普及志愿服务。</w:t>
      </w:r>
    </w:p>
    <w:p w14:paraId="3A1D3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特色成效指标</w:t>
      </w:r>
    </w:p>
    <w:p w14:paraId="2D9AC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文化元素融入作品比例、非遗技艺传承参与度、思政主题作品获奖数、社会公益服务时长。</w:t>
      </w:r>
    </w:p>
    <w:p w14:paraId="6AFB6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（三）经管类应用型高校操作手册</w:t>
      </w:r>
    </w:p>
    <w:p w14:paraId="590D6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核心定位</w:t>
      </w:r>
    </w:p>
    <w:p w14:paraId="25D92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以 “诚信经营 + 社会责任 + 经世济民” 为核心，突出商业实践导向，实现思政话语与经济规律、行业伦理深度融合。</w:t>
      </w:r>
    </w:p>
    <w:p w14:paraId="64B4A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关键操作要点</w:t>
      </w:r>
    </w:p>
    <w:p w14:paraId="5297A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（1）话语主体培育</w:t>
      </w:r>
    </w:p>
    <w:p w14:paraId="3C8F4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推行 “行业历练 + 商业伦理培训”，要求每 3 年累计 3 个月行业实践，持有 1 项相关职业资格证书。</w:t>
      </w:r>
    </w:p>
    <w:p w14:paraId="6B6B3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邀请企业高管、行业专家参与集体备课，分享商业伦理案例。</w:t>
      </w:r>
    </w:p>
    <w:p w14:paraId="3C9C9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（2）话语内容挖掘</w:t>
      </w:r>
    </w:p>
    <w:p w14:paraId="27B84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构建 “商科知识点 — 思政元素” 对应库：如 “财务诚信→职业操守”“市场营销→社会责任”“跨境贸易→互利共赢”。</w:t>
      </w:r>
    </w:p>
    <w:p w14:paraId="056B4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结合乡村振兴、数字经济等热点，融入电商助农、合规经营等时代话语。</w:t>
      </w:r>
    </w:p>
    <w:p w14:paraId="538CB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（3）话语方式创新</w:t>
      </w:r>
    </w:p>
    <w:p w14:paraId="785D7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主推 “案例研讨 + 情景模拟” 模式：通过企业经营案例分析传递思政话语；模拟商业谈判、企业决策场景，强化诚信经营话语。</w:t>
      </w:r>
    </w:p>
    <w:p w14:paraId="7C82F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开展 “公益创业大赛”“商业伦理辩论赛”，增强话语互动性。</w:t>
      </w:r>
    </w:p>
    <w:p w14:paraId="3B4D7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（4）话语语境拓展</w:t>
      </w:r>
    </w:p>
    <w:p w14:paraId="3BEAD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①</w:t>
      </w:r>
      <w:r>
        <w:rPr>
          <w:rFonts w:hint="eastAsia"/>
        </w:rPr>
        <w:t>打造 “课堂 — 企业经营 — 公益场景” 三级语境：课堂强调理论融合，企业突出行业伦理，公益践行社会责任。</w:t>
      </w:r>
    </w:p>
    <w:p w14:paraId="3759B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default" w:ascii="Calibri" w:hAnsi="Calibri" w:cs="Calibri"/>
        </w:rPr>
        <w:t>②</w:t>
      </w:r>
      <w:r>
        <w:rPr>
          <w:rFonts w:hint="eastAsia"/>
        </w:rPr>
        <w:t>与电商平台、金融机构共建实践基地，设立商业思政实训项目。</w:t>
      </w:r>
    </w:p>
    <w:p w14:paraId="2DAA2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特色成效指标</w:t>
      </w:r>
    </w:p>
    <w:p w14:paraId="34DDB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</w:pPr>
      <w:r>
        <w:rPr>
          <w:rFonts w:hint="eastAsia"/>
        </w:rPr>
        <w:t>商业伦理认同度、学生诚信行为表现、企业对毕业生职业素养满意度、公益创业项目数量。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14052"/>
    <w:rsid w:val="09A1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2025-12-14T03:20:00Z</dcterms:created>
  <dc:creator>cherry</dc:creator>
  <cp:lastModifiedBy>cherry</cp:lastModifiedBy>
  <dcterms:modified xsi:type="dcterms:W3CDTF">2025-12-14T03:24:04Z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2F53FE93336846069BF0EA0D51C26FA4_11</vt:lpwstr>
  </property>
  <property fmtid="{D5CDD505-2E9C-101B-9397-08002B2CF9AE}" pid="4" name="KSOTemplateDocerSaveRecord">
    <vt:lpwstr>eyJoZGlkIjoiZmFkNThjZjJmYmJkN2UyYmJmYjVmMjc4NTdiZWFlNmEiLCJ1c2VySWQiOiI1NDYyMzczNDQifQ==</vt:lpwstr>
  </property>
</Properties>
</file>